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9AE0" w14:textId="734B8EFE" w:rsidR="008C5852" w:rsidRPr="00FD4612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FD4612">
        <w:rPr>
          <w:rFonts w:ascii="Arial" w:hAnsi="Arial" w:cs="Arial"/>
          <w:sz w:val="24"/>
          <w:szCs w:val="24"/>
        </w:rPr>
        <w:t>Poznań, październik 2023 r.</w:t>
      </w:r>
    </w:p>
    <w:p w14:paraId="4EF41209" w14:textId="77777777" w:rsidR="008C5852" w:rsidRPr="00FD4612" w:rsidRDefault="008C5852" w:rsidP="008C5852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268F9A2B" w14:textId="0E8E8D0F" w:rsidR="008C5852" w:rsidRPr="00FD4612" w:rsidRDefault="008C5852" w:rsidP="008C585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D4612">
        <w:rPr>
          <w:rFonts w:ascii="Arial" w:hAnsi="Arial" w:cs="Arial"/>
          <w:sz w:val="24"/>
          <w:szCs w:val="24"/>
        </w:rPr>
        <w:t>INFORMACJA PRASOWA</w:t>
      </w:r>
    </w:p>
    <w:p w14:paraId="09EE4DFA" w14:textId="77777777" w:rsidR="008C5852" w:rsidRPr="00FD4612" w:rsidRDefault="008C5852" w:rsidP="008C585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891F294" w14:textId="4D12C7B4" w:rsidR="008C5852" w:rsidRDefault="00521C73" w:rsidP="00E730CF">
      <w:pPr>
        <w:spacing w:after="120"/>
        <w:rPr>
          <w:rFonts w:ascii="Arial" w:hAnsi="Arial" w:cs="Arial"/>
          <w:sz w:val="24"/>
          <w:szCs w:val="24"/>
        </w:rPr>
      </w:pPr>
      <w:r w:rsidRPr="00521C73">
        <w:rPr>
          <w:rFonts w:ascii="Arial" w:hAnsi="Arial" w:cs="Arial"/>
          <w:b/>
          <w:bCs/>
          <w:i/>
          <w:iCs/>
          <w:sz w:val="24"/>
          <w:szCs w:val="24"/>
        </w:rPr>
        <w:t>Dzieła wszystkie, t. 67. Wykład listów św. Pawła: Listy do Kolosan, Tesaloniczan, Tymoteusza, Tytusa, Filemona</w:t>
      </w:r>
      <w:r w:rsidRPr="00521C73">
        <w:rPr>
          <w:rFonts w:ascii="Arial" w:hAnsi="Arial" w:cs="Arial"/>
          <w:b/>
          <w:bCs/>
          <w:sz w:val="24"/>
          <w:szCs w:val="24"/>
        </w:rPr>
        <w:t>, Tomasz z Akwinu</w:t>
      </w:r>
    </w:p>
    <w:p w14:paraId="0C0869C8" w14:textId="6484226C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 xml:space="preserve">Tom 67 serii </w:t>
      </w:r>
      <w:r w:rsidRPr="00FD4612">
        <w:rPr>
          <w:rStyle w:val="Uwydatnienie"/>
          <w:rFonts w:ascii="Arial" w:hAnsi="Arial" w:cs="Arial"/>
        </w:rPr>
        <w:t>Dzieła wszystkie Tomasza z Akwinu</w:t>
      </w:r>
      <w:r w:rsidRPr="00FD4612">
        <w:rPr>
          <w:rFonts w:ascii="Arial" w:hAnsi="Arial" w:cs="Arial"/>
        </w:rPr>
        <w:t xml:space="preserve"> zawiera komentarze do aż siedmiu listów św. Pawła, tj.: List do Kolosan, Pierwszy i Drugi List do Tesaloniczan, Pierwszy i Drugi List do Tymoteusza, List do Tytusa oraz List do Filemona. </w:t>
      </w:r>
    </w:p>
    <w:p w14:paraId="39CEE5F6" w14:textId="77777777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 xml:space="preserve">Listy Świętego Pawła pisane były w różnych okolicznościach i do rozmaitych adresatów. W późniejszych czasach pojawiły się wątpliwości, co do autorstwa niektórych z nich. Święty Tomasz patrzył jednak na zbiór listów Pawłowych jak na pewną całość, zwracając uwagę przede wszystkim na ich treść doktrynalną, co też ujął w Prologu do swego </w:t>
      </w:r>
      <w:r w:rsidRPr="00FD4612">
        <w:rPr>
          <w:rStyle w:val="Uwydatnienie"/>
          <w:rFonts w:ascii="Arial" w:hAnsi="Arial" w:cs="Arial"/>
        </w:rPr>
        <w:t>Wykładu Listu do Rzymian.</w:t>
      </w:r>
      <w:r w:rsidRPr="00FD4612">
        <w:rPr>
          <w:rFonts w:ascii="Arial" w:hAnsi="Arial" w:cs="Arial"/>
        </w:rPr>
        <w:t xml:space="preserve"> Gdy chodzi o listy, których wykład znajdujemy w tomie 67 </w:t>
      </w:r>
      <w:r w:rsidRPr="00FD4612">
        <w:rPr>
          <w:rStyle w:val="Uwydatnienie"/>
          <w:rFonts w:ascii="Arial" w:hAnsi="Arial" w:cs="Arial"/>
        </w:rPr>
        <w:t>Dzieł wszystkich</w:t>
      </w:r>
      <w:r w:rsidRPr="00FD4612">
        <w:rPr>
          <w:rFonts w:ascii="Arial" w:hAnsi="Arial" w:cs="Arial"/>
        </w:rPr>
        <w:t xml:space="preserve">, zwrócił uwagę na to, że św. Paweł zajmuje się w nich obroną jedności, którą łaska sprawia w Kościele – „jej obroną przed błędami – w Liście do Kolosan; przed prześladowaniami obecnymi – w Pierwszym Liście do Tesaloniczan; przed przyszłymi zaś, a zwłaszcza w czasach Antychrysta – w Drugim Liście”. </w:t>
      </w:r>
    </w:p>
    <w:p w14:paraId="5158F312" w14:textId="77777777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>Cztery kolejne listy św. Tomasz określa jako skierowane do zwierzchników: „przełożonych kościelnych poucza Apostoł w sprawach zarówno duchowych, jak i doczesnych. Co do duchowych, w Pierwszym Liście do Tymoteusza mówi o ustanowieniu i budowaniu kościelnej jedności oraz zarządzaniu nią; w Drugim Liście – o stałości wbrew prześladowcom. Po trzecie, w Liście do Tytusa – o obronie przed heretykami. Natomiast panów doczesnych pouczył w Liście do Filemona” (</w:t>
      </w:r>
      <w:r w:rsidRPr="00FD4612">
        <w:rPr>
          <w:rStyle w:val="Uwydatnienie"/>
          <w:rFonts w:ascii="Arial" w:hAnsi="Arial" w:cs="Arial"/>
        </w:rPr>
        <w:t>Wykład Listu do Rzymian</w:t>
      </w:r>
      <w:r w:rsidRPr="00FD4612">
        <w:rPr>
          <w:rFonts w:ascii="Arial" w:hAnsi="Arial" w:cs="Arial"/>
        </w:rPr>
        <w:t xml:space="preserve">, Prolog, 11). W tej właśnie kolejności zamieszczone są komentarze w niniejszym tomie. </w:t>
      </w:r>
    </w:p>
    <w:p w14:paraId="5C71D82C" w14:textId="77777777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 xml:space="preserve">Znaczna część Tomaszowych komentarzy biblijnych dotarła do nas jako </w:t>
      </w:r>
      <w:r w:rsidRPr="00FD4612">
        <w:rPr>
          <w:rStyle w:val="Uwydatnienie"/>
          <w:rFonts w:ascii="Arial" w:hAnsi="Arial" w:cs="Arial"/>
        </w:rPr>
        <w:t>reportatio</w:t>
      </w:r>
      <w:r w:rsidRPr="00FD4612">
        <w:rPr>
          <w:rFonts w:ascii="Arial" w:hAnsi="Arial" w:cs="Arial"/>
        </w:rPr>
        <w:t>, czyli zapis wykładu sporządzony przez jednego ze studentów lub sekretarza. Uczeni rozmaicie datują czas powstania tych tekstów.</w:t>
      </w:r>
    </w:p>
    <w:p w14:paraId="167EF9A3" w14:textId="77777777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 xml:space="preserve">Komentowanie Pisma Świętego należało do podstawowych zadań wykładowcy na średniowiecznym uniwersytecie i tak też było w przypadku św. Tomasza z Akwinu. Teologia była wówczas jedną dyscypliną, dopiero później pojawiły się rozróżnienia, m.in. na biblistykę i teologię systematyczną. Były to czasy, kiedy każdy teolog był jednocześnie z natury rzeczy biblistą. Jako takiego właśnie poznajemy tu także Akwinatę. Przy tym w swej formie wykłady te nadal są tekstami scholastycznymi z charakterystyczną dla siebie strukturą i rozróżnieniami. </w:t>
      </w:r>
    </w:p>
    <w:p w14:paraId="203B9A0A" w14:textId="77777777" w:rsidR="00FD4612" w:rsidRPr="00FD4612" w:rsidRDefault="00FD4612" w:rsidP="00FD4612">
      <w:pPr>
        <w:pStyle w:val="NormalnyWeb"/>
        <w:rPr>
          <w:rFonts w:ascii="Arial" w:hAnsi="Arial" w:cs="Arial"/>
        </w:rPr>
      </w:pPr>
      <w:r w:rsidRPr="00FD4612">
        <w:rPr>
          <w:rFonts w:ascii="Arial" w:hAnsi="Arial" w:cs="Arial"/>
        </w:rPr>
        <w:t xml:space="preserve">Jedna z opowieści związanych ze św. Tomaszem charakteryzuje jego pracę nad komentarzami do </w:t>
      </w:r>
      <w:r w:rsidRPr="00FD4612">
        <w:rPr>
          <w:rStyle w:val="Uwydatnienie"/>
          <w:rFonts w:ascii="Arial" w:hAnsi="Arial" w:cs="Arial"/>
        </w:rPr>
        <w:t xml:space="preserve">Corpus Paulinum </w:t>
      </w:r>
      <w:r w:rsidRPr="00FD4612">
        <w:rPr>
          <w:rFonts w:ascii="Arial" w:hAnsi="Arial" w:cs="Arial"/>
        </w:rPr>
        <w:t xml:space="preserve">i uznanie, którym się cieszyły. Otóż, jednemu z jego współbraci przyśnił się sen, w którym zobaczył brata Tomasza wykładającego na temat listów św. Pawła. „Podczas gdy Tomasz, zasiadając na katedrze, komentował właśnie listy, oto sam apostoł wszedł do sali wykładowej, wypełnionej już </w:t>
      </w:r>
      <w:r w:rsidRPr="00FD4612">
        <w:rPr>
          <w:rFonts w:ascii="Arial" w:hAnsi="Arial" w:cs="Arial"/>
        </w:rPr>
        <w:lastRenderedPageBreak/>
        <w:t xml:space="preserve">dostojnymi słuchaczami. Tomasz przerywa, by powitać go z uszanowaniem, i po paru chwilach rozmowy pyta, czy objaśniał jego tekst w takim sensie, jaki chciał mu nadać autor. Na to pytanie apostoł odparł, że Tomasz dobrze naucza tego, co w tym życiu można zrozumieć z jego listów; nadejdzie jednak czas, kiedy zrozumie listy w całej ich prawdzie. Przy tych słowach chwycił go za kapę i pociągnął do siebie. Trzy dni później rozeszła się po Neapolu wieść o śmierci Tomasza” (cyt. za. J.-P. Torrell, </w:t>
      </w:r>
      <w:r w:rsidRPr="00FD4612">
        <w:rPr>
          <w:rStyle w:val="Uwydatnienie"/>
          <w:rFonts w:ascii="Arial" w:hAnsi="Arial" w:cs="Arial"/>
        </w:rPr>
        <w:t>Wprowadzenie w św. Tomasza z Akwinu. Osoba i dzieło</w:t>
      </w:r>
      <w:r w:rsidRPr="00FD4612">
        <w:rPr>
          <w:rFonts w:ascii="Arial" w:hAnsi="Arial" w:cs="Arial"/>
        </w:rPr>
        <w:t>, W drodze, Poznań 2021, s. 358).</w:t>
      </w:r>
    </w:p>
    <w:p w14:paraId="32BE73C8" w14:textId="6219FE85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O serii: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</w:rPr>
        <w:t>Dzieła św. Tomasza, zebrane w ramach 70-tomowej serii </w:t>
      </w:r>
      <w:r>
        <w:rPr>
          <w:rStyle w:val="normaltextrun"/>
          <w:rFonts w:ascii="Arial" w:hAnsi="Arial" w:cs="Arial"/>
          <w:i/>
          <w:iCs/>
          <w:color w:val="000000"/>
        </w:rPr>
        <w:t>Dzieła wszystkie Tomasza z Akwinu</w:t>
      </w:r>
      <w:r>
        <w:rPr>
          <w:rStyle w:val="normaltextrun"/>
          <w:rFonts w:ascii="Arial" w:hAnsi="Arial" w:cs="Arial"/>
          <w:color w:val="000000"/>
        </w:rPr>
        <w:t>, należą do europejskiego i światowego kanonu intelektualnego i stanowią ważną inspirację do pogłębionych intelektualnych poszukiwań.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scxw66408549"/>
        </w:rPr>
        <w:t> </w:t>
      </w:r>
      <w:r>
        <w:br/>
      </w:r>
      <w:r>
        <w:rPr>
          <w:rStyle w:val="normaltextrun"/>
          <w:rFonts w:ascii="Arial" w:hAnsi="Arial" w:cs="Arial"/>
          <w:color w:val="000000"/>
        </w:rPr>
        <w:t>Tomaszowe dzieło, w zależności od tłumaczenia, liczy od kilkunastu do kilkudziesięciu tysięcy stron. Do jego spuścizny odwołują się nie tylko katolicy, lecz również chrześcijanie innych wyznań, a także niewierzący specjaliści rozmaitych nauk humanistycznych, w tym ekonomiści i politycy.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scxw66408549"/>
        </w:rPr>
        <w:t> </w:t>
      </w:r>
      <w:r>
        <w:br/>
      </w:r>
      <w:r>
        <w:rPr>
          <w:rStyle w:val="normaltextrun"/>
          <w:rFonts w:ascii="Arial" w:hAnsi="Arial" w:cs="Arial"/>
          <w:color w:val="000000"/>
        </w:rPr>
        <w:t>Serię opracowują: Fundacja Pro Futuro Theologiae, Instytut T</w:t>
      </w:r>
      <w:r w:rsidR="003F1E73">
        <w:rPr>
          <w:rStyle w:val="normaltextrun"/>
          <w:rFonts w:ascii="Arial" w:hAnsi="Arial" w:cs="Arial"/>
          <w:color w:val="000000"/>
        </w:rPr>
        <w:t>omistyczny</w:t>
      </w:r>
      <w:r>
        <w:rPr>
          <w:rStyle w:val="normaltextrun"/>
          <w:rFonts w:ascii="Arial" w:hAnsi="Arial" w:cs="Arial"/>
          <w:color w:val="000000"/>
        </w:rPr>
        <w:t xml:space="preserve"> i Wydawnictwo Polskiej Prowincji Dominikanów W drodze. W projekcie bierze udział wielu wybitnych tłumaczy oraz badaczy twórczości św. Tomasza z Akwinu.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scxw66408549"/>
        </w:rPr>
        <w:t> </w:t>
      </w:r>
      <w:r>
        <w:br/>
      </w:r>
      <w:r>
        <w:rPr>
          <w:rStyle w:val="normaltextrun"/>
          <w:rFonts w:ascii="Arial" w:hAnsi="Arial" w:cs="Arial"/>
          <w:color w:val="000000"/>
        </w:rPr>
        <w:t>Projekt </w:t>
      </w:r>
      <w:r>
        <w:rPr>
          <w:rStyle w:val="normaltextrun"/>
          <w:rFonts w:ascii="Arial" w:hAnsi="Arial" w:cs="Arial"/>
          <w:i/>
          <w:iCs/>
          <w:color w:val="000000"/>
        </w:rPr>
        <w:t>Dzieła wszystkie Tomasza z Akwinu</w:t>
      </w:r>
      <w:r>
        <w:rPr>
          <w:rStyle w:val="normaltextrun"/>
          <w:rFonts w:ascii="Arial" w:hAnsi="Arial" w:cs="Arial"/>
          <w:color w:val="000000"/>
        </w:rPr>
        <w:t> został objęty honorowym patronatem Przemysława Czarnka, Ministra Edukacji i Nauki.</w:t>
      </w:r>
      <w:r>
        <w:rPr>
          <w:rStyle w:val="eop"/>
          <w:rFonts w:ascii="Arial" w:hAnsi="Arial" w:cs="Arial"/>
          <w:color w:val="000000"/>
        </w:rPr>
        <w:t> </w:t>
      </w:r>
    </w:p>
    <w:p w14:paraId="4F6C7D3F" w14:textId="77777777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0ED9E04" w14:textId="77777777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00DBF91" w14:textId="49D7A54F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>
        <w:rPr>
          <w:rStyle w:val="scxw66408549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8" w:tgtFrame="_blank" w:history="1">
        <w:r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7A7AE3CE" w14:textId="77777777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8256A3" w14:textId="77777777" w:rsidR="00FD4612" w:rsidRDefault="00FD4612" w:rsidP="00FD46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95C7E43" w14:textId="022E8372" w:rsidR="009E51FE" w:rsidRPr="00FD4612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96756F" w14:textId="77777777" w:rsidR="009E51FE" w:rsidRPr="00FD4612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5C2E7D1" w14:textId="77777777" w:rsidR="009E51FE" w:rsidRPr="00FD4612" w:rsidRDefault="009E51FE" w:rsidP="00E730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9E51FE" w:rsidRPr="00FD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4"/>
    <w:rsid w:val="00005BE5"/>
    <w:rsid w:val="00023DAD"/>
    <w:rsid w:val="00023ED5"/>
    <w:rsid w:val="00025CE6"/>
    <w:rsid w:val="00065EDC"/>
    <w:rsid w:val="000741D2"/>
    <w:rsid w:val="000816AC"/>
    <w:rsid w:val="000E6561"/>
    <w:rsid w:val="00126FE9"/>
    <w:rsid w:val="001544B3"/>
    <w:rsid w:val="00157816"/>
    <w:rsid w:val="001812A9"/>
    <w:rsid w:val="00197E41"/>
    <w:rsid w:val="001B6D89"/>
    <w:rsid w:val="001C62BD"/>
    <w:rsid w:val="001F38DB"/>
    <w:rsid w:val="001F501A"/>
    <w:rsid w:val="002016E6"/>
    <w:rsid w:val="00214D2F"/>
    <w:rsid w:val="002221C4"/>
    <w:rsid w:val="00262616"/>
    <w:rsid w:val="0029439B"/>
    <w:rsid w:val="002A5E20"/>
    <w:rsid w:val="002C73E4"/>
    <w:rsid w:val="002C7F49"/>
    <w:rsid w:val="002D0C87"/>
    <w:rsid w:val="003209F2"/>
    <w:rsid w:val="003260C4"/>
    <w:rsid w:val="0034491B"/>
    <w:rsid w:val="00350191"/>
    <w:rsid w:val="00351846"/>
    <w:rsid w:val="00377962"/>
    <w:rsid w:val="00377A1E"/>
    <w:rsid w:val="003A499D"/>
    <w:rsid w:val="003F1E73"/>
    <w:rsid w:val="004031A7"/>
    <w:rsid w:val="00425976"/>
    <w:rsid w:val="00435853"/>
    <w:rsid w:val="0043663D"/>
    <w:rsid w:val="00441AA2"/>
    <w:rsid w:val="004473A1"/>
    <w:rsid w:val="0045463E"/>
    <w:rsid w:val="00465EE1"/>
    <w:rsid w:val="00470EE2"/>
    <w:rsid w:val="004B4DDC"/>
    <w:rsid w:val="00521C73"/>
    <w:rsid w:val="005A4BF2"/>
    <w:rsid w:val="005D2C49"/>
    <w:rsid w:val="00614230"/>
    <w:rsid w:val="00651A34"/>
    <w:rsid w:val="006B0919"/>
    <w:rsid w:val="007150E4"/>
    <w:rsid w:val="00747612"/>
    <w:rsid w:val="00751600"/>
    <w:rsid w:val="00787256"/>
    <w:rsid w:val="007A2BFA"/>
    <w:rsid w:val="007C10D0"/>
    <w:rsid w:val="007F441F"/>
    <w:rsid w:val="00805B67"/>
    <w:rsid w:val="00807735"/>
    <w:rsid w:val="008241E4"/>
    <w:rsid w:val="00853798"/>
    <w:rsid w:val="00856830"/>
    <w:rsid w:val="008C5852"/>
    <w:rsid w:val="008F19DD"/>
    <w:rsid w:val="00902948"/>
    <w:rsid w:val="00903ED4"/>
    <w:rsid w:val="00924DE6"/>
    <w:rsid w:val="0093665C"/>
    <w:rsid w:val="00955C68"/>
    <w:rsid w:val="00977EA8"/>
    <w:rsid w:val="00980042"/>
    <w:rsid w:val="00990F8A"/>
    <w:rsid w:val="009B6906"/>
    <w:rsid w:val="009C63D6"/>
    <w:rsid w:val="009D01A3"/>
    <w:rsid w:val="009E51FE"/>
    <w:rsid w:val="00A35381"/>
    <w:rsid w:val="00A40018"/>
    <w:rsid w:val="00AA7CA2"/>
    <w:rsid w:val="00AB6F6E"/>
    <w:rsid w:val="00AC31DE"/>
    <w:rsid w:val="00B63735"/>
    <w:rsid w:val="00BA0B7E"/>
    <w:rsid w:val="00BB3A24"/>
    <w:rsid w:val="00BD0FC5"/>
    <w:rsid w:val="00BF69F2"/>
    <w:rsid w:val="00C03306"/>
    <w:rsid w:val="00C115B5"/>
    <w:rsid w:val="00C12E36"/>
    <w:rsid w:val="00C20B52"/>
    <w:rsid w:val="00C32C96"/>
    <w:rsid w:val="00C33B61"/>
    <w:rsid w:val="00C43B28"/>
    <w:rsid w:val="00C521EF"/>
    <w:rsid w:val="00C7183E"/>
    <w:rsid w:val="00C806E2"/>
    <w:rsid w:val="00CB26FA"/>
    <w:rsid w:val="00CC38C4"/>
    <w:rsid w:val="00D118EE"/>
    <w:rsid w:val="00D46948"/>
    <w:rsid w:val="00D47274"/>
    <w:rsid w:val="00D55F9D"/>
    <w:rsid w:val="00D605E0"/>
    <w:rsid w:val="00D65360"/>
    <w:rsid w:val="00D97ADC"/>
    <w:rsid w:val="00DA7BBF"/>
    <w:rsid w:val="00DB3F7B"/>
    <w:rsid w:val="00DC00BE"/>
    <w:rsid w:val="00DF2711"/>
    <w:rsid w:val="00E43494"/>
    <w:rsid w:val="00E434C7"/>
    <w:rsid w:val="00E46B63"/>
    <w:rsid w:val="00E66245"/>
    <w:rsid w:val="00E730CF"/>
    <w:rsid w:val="00E829A2"/>
    <w:rsid w:val="00EA441A"/>
    <w:rsid w:val="00EE5C13"/>
    <w:rsid w:val="00F50366"/>
    <w:rsid w:val="00F667D3"/>
    <w:rsid w:val="00F80AA1"/>
    <w:rsid w:val="00F85142"/>
    <w:rsid w:val="00F9559C"/>
    <w:rsid w:val="00FC5ED1"/>
    <w:rsid w:val="00FD4612"/>
    <w:rsid w:val="00FE01CA"/>
    <w:rsid w:val="0E493A76"/>
    <w:rsid w:val="15443040"/>
    <w:rsid w:val="24D68D4A"/>
    <w:rsid w:val="269118A0"/>
    <w:rsid w:val="27F505AF"/>
    <w:rsid w:val="2839825E"/>
    <w:rsid w:val="2AE63A4E"/>
    <w:rsid w:val="33560AB7"/>
    <w:rsid w:val="34F1DB18"/>
    <w:rsid w:val="38FEEC6C"/>
    <w:rsid w:val="3FC13888"/>
    <w:rsid w:val="4311437C"/>
    <w:rsid w:val="4822ED47"/>
    <w:rsid w:val="505EEC50"/>
    <w:rsid w:val="53968D12"/>
    <w:rsid w:val="5933A973"/>
    <w:rsid w:val="60FC034D"/>
    <w:rsid w:val="66C6C986"/>
    <w:rsid w:val="66DE678F"/>
    <w:rsid w:val="72346769"/>
    <w:rsid w:val="7B42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ED3"/>
  <w15:chartTrackingRefBased/>
  <w15:docId w15:val="{A1478960-DC88-4CE0-84F0-47D4F82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184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D4612"/>
    <w:rPr>
      <w:i/>
      <w:iCs/>
    </w:rPr>
  </w:style>
  <w:style w:type="paragraph" w:customStyle="1" w:styleId="paragraph">
    <w:name w:val="paragraph"/>
    <w:basedOn w:val="Normalny"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D4612"/>
  </w:style>
  <w:style w:type="character" w:customStyle="1" w:styleId="scxw66408549">
    <w:name w:val="scxw66408549"/>
    <w:basedOn w:val="Domylnaczcionkaakapitu"/>
    <w:rsid w:val="00FD4612"/>
  </w:style>
  <w:style w:type="character" w:customStyle="1" w:styleId="eop">
    <w:name w:val="eop"/>
    <w:basedOn w:val="Domylnaczcionkaakapitu"/>
    <w:rsid w:val="00FD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1CAF721A86448A1BC6D783BB9D9F" ma:contentTypeVersion="19" ma:contentTypeDescription="Create a new document." ma:contentTypeScope="" ma:versionID="189c323139fc5dc01cb9aeeda662662f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adfb054da364f337e37388bfc89e6ece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BBDD2-9DD8-419F-A4A8-287DE820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323C-1DD4-4AEE-81D4-8A468A5D1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9B57F-0765-45DE-A371-084411E2C846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Golubiewski OP</dc:creator>
  <cp:keywords/>
  <dc:description/>
  <cp:lastModifiedBy>Magdalena Kaniewska</cp:lastModifiedBy>
  <cp:revision>12</cp:revision>
  <dcterms:created xsi:type="dcterms:W3CDTF">2023-09-01T07:08:00Z</dcterms:created>
  <dcterms:modified xsi:type="dcterms:W3CDTF">2023-12-14T13:02:00Z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  <property fmtid="{D5CDD505-2E9C-101B-9397-08002B2CF9AE}" pid="3" name="MediaServiceImageTags">
    <vt:lpwstr/>
  </property>
</Properties>
</file>