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1CBF" w14:textId="662EAA1B" w:rsidR="002C74AB" w:rsidRPr="002A77CF" w:rsidRDefault="00DC4B89" w:rsidP="002A77CF">
      <w:pPr>
        <w:spacing w:line="240" w:lineRule="auto"/>
        <w:contextualSpacing/>
        <w:jc w:val="right"/>
        <w:rPr>
          <w:rFonts w:ascii="Arial" w:hAnsi="Arial" w:cs="Arial"/>
          <w:sz w:val="24"/>
          <w:szCs w:val="24"/>
        </w:rPr>
      </w:pPr>
      <w:r w:rsidRPr="002A77CF">
        <w:rPr>
          <w:rFonts w:ascii="Arial" w:hAnsi="Arial" w:cs="Arial"/>
          <w:sz w:val="24"/>
          <w:szCs w:val="24"/>
        </w:rPr>
        <w:t xml:space="preserve">Poznań, </w:t>
      </w:r>
      <w:r w:rsidR="007D3B65" w:rsidRPr="002A77CF">
        <w:rPr>
          <w:rFonts w:ascii="Arial" w:hAnsi="Arial" w:cs="Arial"/>
          <w:sz w:val="24"/>
          <w:szCs w:val="24"/>
        </w:rPr>
        <w:t>luty</w:t>
      </w:r>
      <w:r w:rsidRPr="002A77CF">
        <w:rPr>
          <w:rFonts w:ascii="Arial" w:hAnsi="Arial" w:cs="Arial"/>
          <w:sz w:val="24"/>
          <w:szCs w:val="24"/>
        </w:rPr>
        <w:t xml:space="preserve"> 2023 r.</w:t>
      </w:r>
    </w:p>
    <w:p w14:paraId="13EF6990" w14:textId="62B17999" w:rsidR="00DC4B89" w:rsidRPr="002A77CF" w:rsidRDefault="00DC4B89" w:rsidP="002A77CF">
      <w:pPr>
        <w:spacing w:line="240" w:lineRule="auto"/>
        <w:contextualSpacing/>
        <w:jc w:val="right"/>
        <w:rPr>
          <w:rFonts w:ascii="Arial" w:hAnsi="Arial" w:cs="Arial"/>
          <w:sz w:val="24"/>
          <w:szCs w:val="24"/>
        </w:rPr>
      </w:pPr>
    </w:p>
    <w:p w14:paraId="4D92DCF0" w14:textId="6BBFC285" w:rsidR="00DC4B89" w:rsidRPr="002A77CF" w:rsidRDefault="00DC4B89" w:rsidP="002A77CF">
      <w:pPr>
        <w:spacing w:line="240" w:lineRule="auto"/>
        <w:contextualSpacing/>
        <w:jc w:val="center"/>
        <w:rPr>
          <w:rFonts w:ascii="Arial" w:hAnsi="Arial" w:cs="Arial"/>
          <w:sz w:val="24"/>
          <w:szCs w:val="24"/>
        </w:rPr>
      </w:pPr>
      <w:r w:rsidRPr="002A77CF">
        <w:rPr>
          <w:rFonts w:ascii="Arial" w:hAnsi="Arial" w:cs="Arial"/>
          <w:sz w:val="24"/>
          <w:szCs w:val="24"/>
        </w:rPr>
        <w:t>INFORMACJA PRASOWA</w:t>
      </w:r>
    </w:p>
    <w:p w14:paraId="369666B9" w14:textId="42EF8B2B" w:rsidR="00DC4B89" w:rsidRPr="002A77CF" w:rsidRDefault="00DC4B89" w:rsidP="002A77CF">
      <w:pPr>
        <w:spacing w:line="240" w:lineRule="auto"/>
        <w:contextualSpacing/>
        <w:jc w:val="center"/>
        <w:rPr>
          <w:rFonts w:ascii="Arial" w:hAnsi="Arial" w:cs="Arial"/>
          <w:sz w:val="24"/>
          <w:szCs w:val="24"/>
        </w:rPr>
      </w:pPr>
    </w:p>
    <w:p w14:paraId="7ABAC0CB" w14:textId="654DFE66" w:rsidR="00DC4B89" w:rsidRPr="002A77CF" w:rsidRDefault="00DC4B89" w:rsidP="002A77CF">
      <w:pPr>
        <w:spacing w:line="240" w:lineRule="auto"/>
        <w:contextualSpacing/>
        <w:rPr>
          <w:rFonts w:ascii="Arial" w:hAnsi="Arial" w:cs="Arial"/>
          <w:b/>
          <w:bCs/>
          <w:sz w:val="24"/>
          <w:szCs w:val="24"/>
        </w:rPr>
      </w:pPr>
      <w:r w:rsidRPr="002A77CF">
        <w:rPr>
          <w:rFonts w:ascii="Arial" w:hAnsi="Arial" w:cs="Arial"/>
          <w:b/>
          <w:bCs/>
          <w:i/>
          <w:iCs/>
          <w:sz w:val="24"/>
          <w:szCs w:val="24"/>
        </w:rPr>
        <w:t>Pierwszy i Drugi List do Tymoteusza, List do Tytusa</w:t>
      </w:r>
      <w:r w:rsidRPr="002A77CF">
        <w:rPr>
          <w:rFonts w:ascii="Arial" w:hAnsi="Arial" w:cs="Arial"/>
          <w:b/>
          <w:bCs/>
          <w:sz w:val="24"/>
          <w:szCs w:val="24"/>
        </w:rPr>
        <w:t xml:space="preserve">, George T.  </w:t>
      </w:r>
      <w:proofErr w:type="spellStart"/>
      <w:r w:rsidRPr="002A77CF">
        <w:rPr>
          <w:rFonts w:ascii="Arial" w:hAnsi="Arial" w:cs="Arial"/>
          <w:b/>
          <w:bCs/>
          <w:sz w:val="24"/>
          <w:szCs w:val="24"/>
        </w:rPr>
        <w:t>Montague</w:t>
      </w:r>
      <w:proofErr w:type="spellEnd"/>
      <w:r w:rsidRPr="002A77CF">
        <w:rPr>
          <w:rFonts w:ascii="Arial" w:hAnsi="Arial" w:cs="Arial"/>
          <w:b/>
          <w:bCs/>
          <w:sz w:val="24"/>
          <w:szCs w:val="24"/>
        </w:rPr>
        <w:t xml:space="preserve"> SM</w:t>
      </w:r>
    </w:p>
    <w:p w14:paraId="7C256C69" w14:textId="77777777" w:rsidR="00DC4B89" w:rsidRPr="002A77CF" w:rsidRDefault="00DC4B89" w:rsidP="002A77CF">
      <w:pPr>
        <w:spacing w:line="240" w:lineRule="auto"/>
        <w:contextualSpacing/>
        <w:rPr>
          <w:rFonts w:ascii="Arial" w:hAnsi="Arial" w:cs="Arial"/>
          <w:b/>
          <w:bCs/>
          <w:sz w:val="24"/>
          <w:szCs w:val="24"/>
        </w:rPr>
      </w:pPr>
    </w:p>
    <w:p w14:paraId="0F1B0AF5" w14:textId="42BD04C9" w:rsidR="00DC4B89" w:rsidRPr="002A77CF" w:rsidRDefault="00DC4B89" w:rsidP="002A77CF">
      <w:pPr>
        <w:spacing w:line="240" w:lineRule="auto"/>
        <w:contextualSpacing/>
        <w:rPr>
          <w:rFonts w:ascii="Arial" w:hAnsi="Arial" w:cs="Arial"/>
          <w:b/>
          <w:bCs/>
          <w:i/>
          <w:iCs/>
          <w:sz w:val="24"/>
          <w:szCs w:val="24"/>
        </w:rPr>
      </w:pPr>
      <w:r w:rsidRPr="002A77CF">
        <w:rPr>
          <w:rFonts w:ascii="Arial" w:hAnsi="Arial" w:cs="Arial"/>
          <w:b/>
          <w:bCs/>
          <w:sz w:val="24"/>
          <w:szCs w:val="24"/>
        </w:rPr>
        <w:t xml:space="preserve">Wydawnictwo W drodze kontynuuje uznaną wśród biblistów i miłośników Pisma Świętego 17-tomową serię </w:t>
      </w:r>
      <w:r w:rsidRPr="002A77CF">
        <w:rPr>
          <w:rFonts w:ascii="Arial" w:hAnsi="Arial" w:cs="Arial"/>
          <w:b/>
          <w:bCs/>
          <w:i/>
          <w:iCs/>
          <w:sz w:val="24"/>
          <w:szCs w:val="24"/>
        </w:rPr>
        <w:t>Katolicki Komentarz do Pisma Świętego</w:t>
      </w:r>
      <w:r w:rsidRPr="002A77CF">
        <w:rPr>
          <w:rFonts w:ascii="Arial" w:hAnsi="Arial" w:cs="Arial"/>
          <w:b/>
          <w:bCs/>
          <w:sz w:val="24"/>
          <w:szCs w:val="24"/>
        </w:rPr>
        <w:t>. 13. tomem serii jest komentarz do</w:t>
      </w:r>
      <w:r w:rsidRPr="002A77CF">
        <w:rPr>
          <w:rFonts w:ascii="Arial" w:hAnsi="Arial" w:cs="Arial"/>
          <w:b/>
          <w:bCs/>
          <w:i/>
          <w:iCs/>
          <w:sz w:val="24"/>
          <w:szCs w:val="24"/>
        </w:rPr>
        <w:t xml:space="preserve"> </w:t>
      </w:r>
      <w:r w:rsidRPr="002A77CF">
        <w:rPr>
          <w:rFonts w:ascii="Arial" w:hAnsi="Arial" w:cs="Arial"/>
          <w:b/>
          <w:bCs/>
          <w:sz w:val="24"/>
          <w:szCs w:val="24"/>
        </w:rPr>
        <w:t>Pierwszego i Drugiego Listu do Tymoteusza oraz Listu do Tytusa.</w:t>
      </w:r>
    </w:p>
    <w:p w14:paraId="686D6A9C" w14:textId="77777777" w:rsidR="00DC4B89" w:rsidRPr="002A77CF" w:rsidRDefault="00DC4B89" w:rsidP="002A77CF">
      <w:pPr>
        <w:spacing w:line="240" w:lineRule="auto"/>
        <w:contextualSpacing/>
        <w:rPr>
          <w:rFonts w:ascii="Arial" w:hAnsi="Arial" w:cs="Arial"/>
          <w:b/>
          <w:bCs/>
          <w:sz w:val="24"/>
          <w:szCs w:val="24"/>
        </w:rPr>
      </w:pPr>
    </w:p>
    <w:p w14:paraId="1A771BD7" w14:textId="7999D860" w:rsidR="00DC4B89" w:rsidRPr="002A77CF" w:rsidRDefault="00DC4B89" w:rsidP="002A77CF">
      <w:pPr>
        <w:spacing w:line="240" w:lineRule="auto"/>
        <w:contextualSpacing/>
        <w:rPr>
          <w:rStyle w:val="Uwydatnienie"/>
          <w:rFonts w:ascii="Arial" w:hAnsi="Arial" w:cs="Arial"/>
          <w:i w:val="0"/>
          <w:iCs w:val="0"/>
          <w:sz w:val="24"/>
          <w:szCs w:val="24"/>
        </w:rPr>
      </w:pPr>
      <w:r w:rsidRPr="002A77CF">
        <w:rPr>
          <w:rFonts w:ascii="Arial" w:hAnsi="Arial" w:cs="Arial"/>
          <w:sz w:val="24"/>
          <w:szCs w:val="24"/>
          <w:shd w:val="clear" w:color="auto" w:fill="FFFFFF"/>
        </w:rPr>
        <w:t xml:space="preserve">– </w:t>
      </w:r>
      <w:r w:rsidRPr="002A77CF">
        <w:rPr>
          <w:rStyle w:val="Uwydatnienie"/>
          <w:rFonts w:ascii="Arial" w:hAnsi="Arial" w:cs="Arial"/>
          <w:sz w:val="24"/>
          <w:szCs w:val="24"/>
        </w:rPr>
        <w:t>Ponieważ listy pasterskie dotyczą wskazań dawanych przez jednego pasterza, Pawła, drugiemu, Tymoteuszowi albo Tytusowi, świeccy mogą myśleć, że nie ma tu wiele strawy dla ich duchowości. Tak nie jest. To prawda, że Paweł mówi w tych listach o biskupach, prezbiterach i diakonach, jest tu jednak całe bogactwo nauki, duchowości i zdrowego rozsądku, który może nakarmić każdego.</w:t>
      </w:r>
      <w:r w:rsidR="007D3B65" w:rsidRPr="002A77CF">
        <w:rPr>
          <w:rStyle w:val="Uwydatnienie"/>
          <w:rFonts w:ascii="Arial" w:hAnsi="Arial" w:cs="Arial"/>
          <w:sz w:val="24"/>
          <w:szCs w:val="24"/>
        </w:rPr>
        <w:t xml:space="preserve"> </w:t>
      </w:r>
      <w:r w:rsidRPr="002A77CF">
        <w:rPr>
          <w:rStyle w:val="Uwydatnienie"/>
          <w:rFonts w:ascii="Arial" w:hAnsi="Arial" w:cs="Arial"/>
          <w:sz w:val="24"/>
          <w:szCs w:val="24"/>
        </w:rPr>
        <w:t>Szczególnie ci, którzy są zaangażowani w jakikolwiek rodzaj służby w Kościele, znajdą w tych listach wiele inspiracji i praktycznych wskazówek</w:t>
      </w:r>
      <w:r w:rsidRPr="002A77CF">
        <w:rPr>
          <w:rStyle w:val="Uwydatnienie"/>
          <w:rFonts w:ascii="Arial" w:hAnsi="Arial" w:cs="Arial"/>
          <w:i w:val="0"/>
          <w:iCs w:val="0"/>
          <w:sz w:val="24"/>
          <w:szCs w:val="24"/>
        </w:rPr>
        <w:t xml:space="preserve"> </w:t>
      </w:r>
      <w:r w:rsidRPr="002A77CF">
        <w:rPr>
          <w:rFonts w:ascii="Arial" w:hAnsi="Arial" w:cs="Arial"/>
          <w:sz w:val="24"/>
          <w:szCs w:val="24"/>
          <w:shd w:val="clear" w:color="auto" w:fill="FFFFFF"/>
        </w:rPr>
        <w:t>– czytamy w 13. tomie serii.</w:t>
      </w:r>
    </w:p>
    <w:p w14:paraId="787705BD" w14:textId="5BACA69C" w:rsidR="00DC4B89" w:rsidRPr="002A77CF" w:rsidRDefault="00DC4B89" w:rsidP="002A77CF">
      <w:pPr>
        <w:spacing w:line="240" w:lineRule="auto"/>
        <w:contextualSpacing/>
        <w:rPr>
          <w:rStyle w:val="Uwydatnienie"/>
          <w:rFonts w:ascii="Arial" w:hAnsi="Arial" w:cs="Arial"/>
          <w:i w:val="0"/>
          <w:iCs w:val="0"/>
          <w:sz w:val="24"/>
          <w:szCs w:val="24"/>
        </w:rPr>
      </w:pPr>
    </w:p>
    <w:p w14:paraId="712A14E9" w14:textId="77777777" w:rsidR="00BC2801" w:rsidRPr="002A77CF" w:rsidRDefault="00BC2801" w:rsidP="002A77CF">
      <w:pPr>
        <w:autoSpaceDE w:val="0"/>
        <w:autoSpaceDN w:val="0"/>
        <w:adjustRightInd w:val="0"/>
        <w:spacing w:after="0" w:line="240" w:lineRule="auto"/>
        <w:rPr>
          <w:rFonts w:ascii="Arial" w:hAnsi="Arial" w:cs="Arial"/>
          <w:sz w:val="24"/>
          <w:szCs w:val="24"/>
          <w:shd w:val="clear" w:color="auto" w:fill="FFFFFF"/>
        </w:rPr>
      </w:pPr>
      <w:r w:rsidRPr="002A77CF">
        <w:rPr>
          <w:rFonts w:ascii="Arial" w:hAnsi="Arial" w:cs="Arial"/>
          <w:sz w:val="24"/>
          <w:szCs w:val="24"/>
          <w:shd w:val="clear" w:color="auto" w:fill="FFFFFF"/>
        </w:rPr>
        <w:t>Czytelnicy komentarzy biblijnych pochodzą z bardzo różnych środowisk. Z jednej</w:t>
      </w:r>
    </w:p>
    <w:p w14:paraId="76711811" w14:textId="77777777" w:rsidR="00BC2801" w:rsidRPr="002A77CF" w:rsidRDefault="00BC2801" w:rsidP="002A77CF">
      <w:pPr>
        <w:autoSpaceDE w:val="0"/>
        <w:autoSpaceDN w:val="0"/>
        <w:adjustRightInd w:val="0"/>
        <w:spacing w:after="0" w:line="240" w:lineRule="auto"/>
        <w:rPr>
          <w:rFonts w:ascii="Arial" w:hAnsi="Arial" w:cs="Arial"/>
          <w:sz w:val="24"/>
          <w:szCs w:val="24"/>
          <w:shd w:val="clear" w:color="auto" w:fill="FFFFFF"/>
        </w:rPr>
      </w:pPr>
      <w:r w:rsidRPr="002A77CF">
        <w:rPr>
          <w:rFonts w:ascii="Arial" w:hAnsi="Arial" w:cs="Arial"/>
          <w:sz w:val="24"/>
          <w:szCs w:val="24"/>
          <w:shd w:val="clear" w:color="auto" w:fill="FFFFFF"/>
        </w:rPr>
        <w:t>strony to ludzie w ogóle niezaznajomieni z Pismem Świętym, z drugiej – bibliści.</w:t>
      </w:r>
    </w:p>
    <w:p w14:paraId="6BB533E4" w14:textId="77777777" w:rsidR="00BC2801" w:rsidRPr="002A77CF" w:rsidRDefault="00BC2801" w:rsidP="002A77CF">
      <w:pPr>
        <w:autoSpaceDE w:val="0"/>
        <w:autoSpaceDN w:val="0"/>
        <w:adjustRightInd w:val="0"/>
        <w:spacing w:after="0" w:line="240" w:lineRule="auto"/>
        <w:rPr>
          <w:rFonts w:ascii="Arial" w:hAnsi="Arial" w:cs="Arial"/>
          <w:sz w:val="24"/>
          <w:szCs w:val="24"/>
          <w:shd w:val="clear" w:color="auto" w:fill="FFFFFF"/>
        </w:rPr>
      </w:pPr>
      <w:r w:rsidRPr="002A77CF">
        <w:rPr>
          <w:rFonts w:ascii="Arial" w:hAnsi="Arial" w:cs="Arial"/>
          <w:sz w:val="24"/>
          <w:szCs w:val="24"/>
          <w:shd w:val="clear" w:color="auto" w:fill="FFFFFF"/>
        </w:rPr>
        <w:t>Osoba początkująca może po prostu chcieć poznać treść listów do Tymoteusza</w:t>
      </w:r>
    </w:p>
    <w:p w14:paraId="2194AB70" w14:textId="77777777" w:rsidR="00BC2801" w:rsidRPr="002A77CF" w:rsidRDefault="00BC2801" w:rsidP="002A77CF">
      <w:pPr>
        <w:autoSpaceDE w:val="0"/>
        <w:autoSpaceDN w:val="0"/>
        <w:adjustRightInd w:val="0"/>
        <w:spacing w:after="0" w:line="240" w:lineRule="auto"/>
        <w:rPr>
          <w:rFonts w:ascii="Arial" w:hAnsi="Arial" w:cs="Arial"/>
          <w:sz w:val="24"/>
          <w:szCs w:val="24"/>
          <w:shd w:val="clear" w:color="auto" w:fill="FFFFFF"/>
        </w:rPr>
      </w:pPr>
      <w:r w:rsidRPr="002A77CF">
        <w:rPr>
          <w:rFonts w:ascii="Arial" w:hAnsi="Arial" w:cs="Arial"/>
          <w:sz w:val="24"/>
          <w:szCs w:val="24"/>
          <w:shd w:val="clear" w:color="auto" w:fill="FFFFFF"/>
        </w:rPr>
        <w:t>i Tytusa, z kolei ten, kto już się zaznajomił z tymi tekstami i podjął nad nimi studia,</w:t>
      </w:r>
    </w:p>
    <w:p w14:paraId="5F81BA08" w14:textId="77777777" w:rsidR="00BC2801" w:rsidRPr="002A77CF" w:rsidRDefault="00BC2801" w:rsidP="002A77CF">
      <w:pPr>
        <w:autoSpaceDE w:val="0"/>
        <w:autoSpaceDN w:val="0"/>
        <w:adjustRightInd w:val="0"/>
        <w:spacing w:after="0" w:line="240" w:lineRule="auto"/>
        <w:rPr>
          <w:rFonts w:ascii="Arial" w:hAnsi="Arial" w:cs="Arial"/>
          <w:sz w:val="24"/>
          <w:szCs w:val="24"/>
          <w:shd w:val="clear" w:color="auto" w:fill="FFFFFF"/>
        </w:rPr>
      </w:pPr>
      <w:r w:rsidRPr="002A77CF">
        <w:rPr>
          <w:rFonts w:ascii="Arial" w:hAnsi="Arial" w:cs="Arial"/>
          <w:sz w:val="24"/>
          <w:szCs w:val="24"/>
          <w:shd w:val="clear" w:color="auto" w:fill="FFFFFF"/>
        </w:rPr>
        <w:t>może chcieć się dowiedzieć, czym ten komentarz różni się od wielu innych już</w:t>
      </w:r>
    </w:p>
    <w:p w14:paraId="0ECAB6A7" w14:textId="77777777" w:rsidR="00BC2801" w:rsidRPr="002A77CF" w:rsidRDefault="00BC2801" w:rsidP="002A77CF">
      <w:pPr>
        <w:autoSpaceDE w:val="0"/>
        <w:autoSpaceDN w:val="0"/>
        <w:adjustRightInd w:val="0"/>
        <w:spacing w:after="0" w:line="240" w:lineRule="auto"/>
        <w:rPr>
          <w:rFonts w:ascii="Arial" w:hAnsi="Arial" w:cs="Arial"/>
          <w:sz w:val="24"/>
          <w:szCs w:val="24"/>
          <w:shd w:val="clear" w:color="auto" w:fill="FFFFFF"/>
        </w:rPr>
      </w:pPr>
      <w:r w:rsidRPr="002A77CF">
        <w:rPr>
          <w:rFonts w:ascii="Arial" w:hAnsi="Arial" w:cs="Arial"/>
          <w:sz w:val="24"/>
          <w:szCs w:val="24"/>
          <w:shd w:val="clear" w:color="auto" w:fill="FFFFFF"/>
        </w:rPr>
        <w:t>opublikowanych. Dla tych mniej zaznajomionych z listami pasterskimi komentarz</w:t>
      </w:r>
    </w:p>
    <w:p w14:paraId="11CDCDCF" w14:textId="07AEAFCC" w:rsidR="00BC2801" w:rsidRPr="002A77CF" w:rsidRDefault="00BC2801" w:rsidP="002A77CF">
      <w:pPr>
        <w:autoSpaceDE w:val="0"/>
        <w:autoSpaceDN w:val="0"/>
        <w:adjustRightInd w:val="0"/>
        <w:spacing w:after="0" w:line="240" w:lineRule="auto"/>
        <w:rPr>
          <w:rFonts w:ascii="Arial" w:hAnsi="Arial" w:cs="Arial"/>
          <w:sz w:val="24"/>
          <w:szCs w:val="24"/>
          <w:shd w:val="clear" w:color="auto" w:fill="FFFFFF"/>
        </w:rPr>
      </w:pPr>
      <w:r w:rsidRPr="002A77CF">
        <w:rPr>
          <w:rFonts w:ascii="Arial" w:hAnsi="Arial" w:cs="Arial"/>
          <w:sz w:val="24"/>
          <w:szCs w:val="24"/>
          <w:shd w:val="clear" w:color="auto" w:fill="FFFFFF"/>
        </w:rPr>
        <w:t xml:space="preserve">ten proponuje łatwy w lekturze wstęp. Tym zaś, którzy mają większe doświadczenie, lektura dostarcza nowych inspiracji w odbiorze listów pasterskich.  </w:t>
      </w:r>
    </w:p>
    <w:p w14:paraId="43668F5E" w14:textId="5096DC2B" w:rsidR="00BC2801" w:rsidRPr="002A77CF" w:rsidRDefault="00BC2801" w:rsidP="002A77CF">
      <w:pPr>
        <w:autoSpaceDE w:val="0"/>
        <w:autoSpaceDN w:val="0"/>
        <w:adjustRightInd w:val="0"/>
        <w:spacing w:after="0" w:line="240" w:lineRule="auto"/>
        <w:rPr>
          <w:rFonts w:ascii="Arial" w:hAnsi="Arial" w:cs="Arial"/>
          <w:sz w:val="24"/>
          <w:szCs w:val="24"/>
          <w:shd w:val="clear" w:color="auto" w:fill="FFFFFF"/>
        </w:rPr>
      </w:pPr>
    </w:p>
    <w:p w14:paraId="598E175B" w14:textId="660E1D31" w:rsidR="00BC2801" w:rsidRPr="002A77CF" w:rsidRDefault="00BC2801" w:rsidP="002A77CF">
      <w:pPr>
        <w:autoSpaceDE w:val="0"/>
        <w:autoSpaceDN w:val="0"/>
        <w:adjustRightInd w:val="0"/>
        <w:spacing w:after="0" w:line="240" w:lineRule="auto"/>
        <w:rPr>
          <w:rFonts w:ascii="Arial" w:hAnsi="Arial" w:cs="Arial"/>
          <w:sz w:val="24"/>
          <w:szCs w:val="24"/>
        </w:rPr>
      </w:pPr>
      <w:r w:rsidRPr="002A77CF">
        <w:rPr>
          <w:rFonts w:ascii="Arial" w:hAnsi="Arial" w:cs="Arial"/>
          <w:sz w:val="24"/>
          <w:szCs w:val="24"/>
        </w:rPr>
        <w:t xml:space="preserve">Listy te stanowią również owocną refleksję dla Kościoła dzisiaj. Szczególnie dla tych, którzy w jakiś sposób w nim służą. Pokazują, że nie musimy na nowo odkrywać Kościoła. </w:t>
      </w:r>
    </w:p>
    <w:p w14:paraId="4682D70A" w14:textId="77777777" w:rsidR="00BC2801" w:rsidRPr="002A77CF" w:rsidRDefault="00BC2801" w:rsidP="002A77CF">
      <w:pPr>
        <w:autoSpaceDE w:val="0"/>
        <w:autoSpaceDN w:val="0"/>
        <w:adjustRightInd w:val="0"/>
        <w:spacing w:after="0" w:line="240" w:lineRule="auto"/>
        <w:rPr>
          <w:rFonts w:ascii="Arial" w:hAnsi="Arial" w:cs="Arial"/>
          <w:sz w:val="24"/>
          <w:szCs w:val="24"/>
        </w:rPr>
      </w:pPr>
    </w:p>
    <w:p w14:paraId="4689415A" w14:textId="4C6B2575" w:rsidR="00BC2801" w:rsidRPr="002A77CF" w:rsidRDefault="00BC2801" w:rsidP="002A77CF">
      <w:pPr>
        <w:autoSpaceDE w:val="0"/>
        <w:autoSpaceDN w:val="0"/>
        <w:adjustRightInd w:val="0"/>
        <w:spacing w:after="0" w:line="240" w:lineRule="auto"/>
        <w:rPr>
          <w:rFonts w:ascii="Arial" w:hAnsi="Arial" w:cs="Arial"/>
          <w:sz w:val="24"/>
          <w:szCs w:val="24"/>
          <w:shd w:val="clear" w:color="auto" w:fill="FFFFFF"/>
        </w:rPr>
      </w:pPr>
      <w:r w:rsidRPr="002A77CF">
        <w:rPr>
          <w:rFonts w:ascii="Arial" w:hAnsi="Arial" w:cs="Arial"/>
          <w:sz w:val="24"/>
          <w:szCs w:val="24"/>
          <w:shd w:val="clear" w:color="auto" w:fill="FFFFFF"/>
        </w:rPr>
        <w:t>–</w:t>
      </w:r>
      <w:r w:rsidRPr="002A77CF">
        <w:rPr>
          <w:rFonts w:ascii="Arial" w:hAnsi="Arial" w:cs="Arial"/>
          <w:sz w:val="24"/>
          <w:szCs w:val="24"/>
        </w:rPr>
        <w:t xml:space="preserve"> </w:t>
      </w:r>
      <w:r w:rsidRPr="002A77CF">
        <w:rPr>
          <w:rFonts w:ascii="Arial" w:hAnsi="Arial" w:cs="Arial"/>
          <w:i/>
          <w:iCs/>
          <w:sz w:val="24"/>
          <w:szCs w:val="24"/>
        </w:rPr>
        <w:t xml:space="preserve">Jakże często, gdy czytamy listy Pawła do Koryntian, uśmiechamy się i mówimy o naszym dzisiejszym doświadczeniu Kościoła: „Cóż, już przez to przechodziliśmy”. W sekcjach „Rozważanie i zastosowanie praktyczne” szukam tego, co łączy Kościoły z listów pasterskich z naszymi współczesnymi Kościołami, czasem sięgając do własnego doświadczenia. I nie interesuje mnie tylko to, co dane słowo znaczyło w t e d y, ale także to, co znaczy teraz. Większość komentarzy rzadko cytuje wczesne omówienia powstałe wkrótce po Nowym Testamencie. A przecież to one były pierwszymi próbami ukazania, jak te teksty odnosiły się do Kościołów, które je otrzymały. Ojcowie Kościoła byli pierwszymi, którzy użyli listów pasterskich w swoim pasterzowaniu </w:t>
      </w:r>
      <w:r w:rsidRPr="002A77CF">
        <w:rPr>
          <w:rFonts w:ascii="Arial" w:hAnsi="Arial" w:cs="Arial"/>
          <w:sz w:val="24"/>
          <w:szCs w:val="24"/>
        </w:rPr>
        <w:t xml:space="preserve">– czytamy we Wstępie do listów pasterskich. </w:t>
      </w:r>
    </w:p>
    <w:p w14:paraId="6B4129ED" w14:textId="0312685D" w:rsidR="00BC2801" w:rsidRPr="002A77CF" w:rsidRDefault="00BC2801" w:rsidP="002A77CF">
      <w:pPr>
        <w:autoSpaceDE w:val="0"/>
        <w:autoSpaceDN w:val="0"/>
        <w:adjustRightInd w:val="0"/>
        <w:spacing w:after="0" w:line="240" w:lineRule="auto"/>
        <w:rPr>
          <w:rFonts w:ascii="Arial" w:hAnsi="Arial" w:cs="Arial"/>
          <w:sz w:val="24"/>
          <w:szCs w:val="24"/>
        </w:rPr>
      </w:pPr>
    </w:p>
    <w:p w14:paraId="743A5D06" w14:textId="33EAF825" w:rsidR="002A77CF" w:rsidRPr="002A77CF" w:rsidRDefault="002A77CF" w:rsidP="002A77CF">
      <w:pPr>
        <w:autoSpaceDE w:val="0"/>
        <w:autoSpaceDN w:val="0"/>
        <w:adjustRightInd w:val="0"/>
        <w:spacing w:after="0" w:line="240" w:lineRule="auto"/>
        <w:rPr>
          <w:rFonts w:ascii="Arial" w:hAnsi="Arial" w:cs="Arial"/>
          <w:sz w:val="24"/>
          <w:szCs w:val="24"/>
        </w:rPr>
      </w:pPr>
      <w:r w:rsidRPr="002A77CF">
        <w:rPr>
          <w:rFonts w:ascii="Arial" w:hAnsi="Arial" w:cs="Arial"/>
          <w:i/>
          <w:iCs/>
          <w:sz w:val="24"/>
          <w:szCs w:val="24"/>
        </w:rPr>
        <w:t xml:space="preserve">Pierwszy i Drugi List do Tymoteusza </w:t>
      </w:r>
      <w:r w:rsidRPr="002A77CF">
        <w:rPr>
          <w:rFonts w:ascii="Arial" w:hAnsi="Arial" w:cs="Arial"/>
          <w:sz w:val="24"/>
          <w:szCs w:val="24"/>
        </w:rPr>
        <w:t xml:space="preserve">oraz </w:t>
      </w:r>
      <w:r w:rsidRPr="002A77CF">
        <w:rPr>
          <w:rFonts w:ascii="Arial" w:hAnsi="Arial" w:cs="Arial"/>
          <w:i/>
          <w:iCs/>
          <w:sz w:val="24"/>
          <w:szCs w:val="24"/>
        </w:rPr>
        <w:t xml:space="preserve">List do Tytusa </w:t>
      </w:r>
      <w:r w:rsidRPr="002A77CF">
        <w:rPr>
          <w:rFonts w:ascii="Arial" w:hAnsi="Arial" w:cs="Arial"/>
          <w:sz w:val="24"/>
          <w:szCs w:val="24"/>
        </w:rPr>
        <w:t>ukazują poszukiwania autora i</w:t>
      </w:r>
      <w:r>
        <w:rPr>
          <w:rFonts w:ascii="Arial" w:hAnsi="Arial" w:cs="Arial"/>
          <w:sz w:val="24"/>
          <w:szCs w:val="24"/>
        </w:rPr>
        <w:t xml:space="preserve"> z</w:t>
      </w:r>
      <w:r w:rsidRPr="002A77CF">
        <w:rPr>
          <w:rFonts w:ascii="Arial" w:hAnsi="Arial" w:cs="Arial"/>
          <w:sz w:val="24"/>
          <w:szCs w:val="24"/>
        </w:rPr>
        <w:t>naczenie</w:t>
      </w:r>
      <w:r>
        <w:rPr>
          <w:rFonts w:ascii="Arial" w:hAnsi="Arial" w:cs="Arial"/>
          <w:sz w:val="24"/>
          <w:szCs w:val="24"/>
        </w:rPr>
        <w:t xml:space="preserve"> tychże listów dla </w:t>
      </w:r>
      <w:r w:rsidRPr="002A77CF">
        <w:rPr>
          <w:rFonts w:ascii="Arial" w:hAnsi="Arial" w:cs="Arial"/>
          <w:sz w:val="24"/>
          <w:szCs w:val="24"/>
        </w:rPr>
        <w:t xml:space="preserve">niego samego, ale także dla przywódców i Kościołów, do których były adresowane. Większość komentarza zawartego w tym tomie jest poświęcona właśnie temu zagadnieniu. </w:t>
      </w:r>
    </w:p>
    <w:p w14:paraId="12213672" w14:textId="77777777" w:rsidR="002A77CF" w:rsidRPr="002A77CF" w:rsidRDefault="002A77CF" w:rsidP="002A77CF">
      <w:pPr>
        <w:autoSpaceDE w:val="0"/>
        <w:autoSpaceDN w:val="0"/>
        <w:adjustRightInd w:val="0"/>
        <w:spacing w:after="0" w:line="240" w:lineRule="auto"/>
        <w:rPr>
          <w:rFonts w:ascii="Arial" w:hAnsi="Arial" w:cs="Arial"/>
          <w:sz w:val="24"/>
          <w:szCs w:val="24"/>
        </w:rPr>
      </w:pPr>
    </w:p>
    <w:p w14:paraId="33E56E16" w14:textId="0FB1B9D5" w:rsidR="00DC4B89" w:rsidRPr="002A77CF" w:rsidRDefault="00E34F77" w:rsidP="002A77CF">
      <w:pPr>
        <w:spacing w:line="240" w:lineRule="auto"/>
        <w:contextualSpacing/>
        <w:rPr>
          <w:rStyle w:val="Uwydatnienie"/>
          <w:rFonts w:ascii="Arial" w:hAnsi="Arial" w:cs="Arial"/>
          <w:i w:val="0"/>
          <w:iCs w:val="0"/>
          <w:sz w:val="24"/>
          <w:szCs w:val="24"/>
          <w:shd w:val="clear" w:color="auto" w:fill="FFFFFF"/>
        </w:rPr>
      </w:pPr>
      <w:r w:rsidRPr="002A77CF">
        <w:rPr>
          <w:rFonts w:ascii="Arial" w:hAnsi="Arial" w:cs="Arial"/>
          <w:sz w:val="24"/>
          <w:szCs w:val="24"/>
          <w:shd w:val="clear" w:color="auto" w:fill="FFFFFF"/>
        </w:rPr>
        <w:t xml:space="preserve">Redaktorem naukowym wydania polskiego 13. tomu serii </w:t>
      </w:r>
      <w:r w:rsidR="00AB5957">
        <w:rPr>
          <w:rFonts w:ascii="Arial" w:hAnsi="Arial" w:cs="Arial"/>
          <w:sz w:val="24"/>
          <w:szCs w:val="24"/>
          <w:shd w:val="clear" w:color="auto" w:fill="FFFFFF"/>
        </w:rPr>
        <w:t>jest</w:t>
      </w:r>
      <w:r w:rsidR="00AB5957" w:rsidRPr="002A77CF">
        <w:rPr>
          <w:rFonts w:ascii="Arial" w:hAnsi="Arial" w:cs="Arial"/>
          <w:sz w:val="24"/>
          <w:szCs w:val="24"/>
          <w:shd w:val="clear" w:color="auto" w:fill="FFFFFF"/>
        </w:rPr>
        <w:t xml:space="preserve"> </w:t>
      </w:r>
      <w:r w:rsidRPr="002A77CF">
        <w:rPr>
          <w:rFonts w:ascii="Arial" w:hAnsi="Arial" w:cs="Arial"/>
          <w:sz w:val="24"/>
          <w:szCs w:val="24"/>
          <w:shd w:val="clear" w:color="auto" w:fill="FFFFFF"/>
        </w:rPr>
        <w:t>ks. dr hab. Janusz Wilk.</w:t>
      </w:r>
    </w:p>
    <w:p w14:paraId="05B9D065" w14:textId="77777777" w:rsidR="00DC4B89" w:rsidRPr="002A77CF" w:rsidRDefault="00DC4B89" w:rsidP="002A77CF">
      <w:pPr>
        <w:spacing w:line="240" w:lineRule="auto"/>
        <w:contextualSpacing/>
        <w:rPr>
          <w:rStyle w:val="Uwydatnienie"/>
          <w:rFonts w:ascii="Arial" w:hAnsi="Arial" w:cs="Arial"/>
          <w:i w:val="0"/>
          <w:iCs w:val="0"/>
          <w:sz w:val="24"/>
          <w:szCs w:val="24"/>
        </w:rPr>
      </w:pPr>
    </w:p>
    <w:p w14:paraId="299FD5C1" w14:textId="5203FE3A" w:rsidR="00DC4B89" w:rsidRPr="002A77CF" w:rsidRDefault="00DC4B89" w:rsidP="002A77CF">
      <w:pPr>
        <w:spacing w:line="240" w:lineRule="auto"/>
        <w:contextualSpacing/>
        <w:rPr>
          <w:rStyle w:val="Uwydatnienie"/>
          <w:rFonts w:ascii="Arial" w:hAnsi="Arial" w:cs="Arial"/>
          <w:b/>
          <w:bCs/>
          <w:i w:val="0"/>
          <w:iCs w:val="0"/>
          <w:sz w:val="24"/>
          <w:szCs w:val="24"/>
        </w:rPr>
      </w:pPr>
      <w:r w:rsidRPr="002A77CF">
        <w:rPr>
          <w:rStyle w:val="Uwydatnienie"/>
          <w:rFonts w:ascii="Arial" w:hAnsi="Arial" w:cs="Arial"/>
          <w:b/>
          <w:bCs/>
          <w:i w:val="0"/>
          <w:iCs w:val="0"/>
          <w:sz w:val="24"/>
          <w:szCs w:val="24"/>
        </w:rPr>
        <w:t>Patronat nad książką objęli:</w:t>
      </w:r>
    </w:p>
    <w:p w14:paraId="2F604928" w14:textId="357B710C" w:rsidR="00DC4B89" w:rsidRPr="002A77CF" w:rsidRDefault="00DC4B89" w:rsidP="002A77CF">
      <w:pPr>
        <w:spacing w:line="240" w:lineRule="auto"/>
        <w:rPr>
          <w:rStyle w:val="Uwydatnienie"/>
          <w:rFonts w:ascii="Arial" w:hAnsi="Arial" w:cs="Arial"/>
          <w:i w:val="0"/>
          <w:iCs w:val="0"/>
          <w:sz w:val="24"/>
          <w:szCs w:val="24"/>
          <w:shd w:val="clear" w:color="auto" w:fill="FFFFFF"/>
        </w:rPr>
      </w:pPr>
      <w:r w:rsidRPr="002A77CF">
        <w:rPr>
          <w:rFonts w:ascii="Arial" w:hAnsi="Arial" w:cs="Arial"/>
          <w:sz w:val="24"/>
          <w:szCs w:val="24"/>
          <w:shd w:val="clear" w:color="auto" w:fill="FFFFFF"/>
        </w:rPr>
        <w:t>„Gość Niedzielny”, tygodnik „Idziemy”, „Przewodnik Katolicki”, „Christianitas", „</w:t>
      </w:r>
      <w:proofErr w:type="spellStart"/>
      <w:r w:rsidRPr="002A77CF">
        <w:rPr>
          <w:rFonts w:ascii="Arial" w:hAnsi="Arial" w:cs="Arial"/>
          <w:sz w:val="24"/>
          <w:szCs w:val="24"/>
          <w:shd w:val="clear" w:color="auto" w:fill="FFFFFF"/>
        </w:rPr>
        <w:t>Oremus</w:t>
      </w:r>
      <w:proofErr w:type="spellEnd"/>
      <w:r w:rsidRPr="002A77CF">
        <w:rPr>
          <w:rFonts w:ascii="Arial" w:hAnsi="Arial" w:cs="Arial"/>
          <w:sz w:val="24"/>
          <w:szCs w:val="24"/>
          <w:shd w:val="clear" w:color="auto" w:fill="FFFFFF"/>
        </w:rPr>
        <w:t>”, miesięcznik „W drodze”, Dominikanie.pl, Liturgia.pl, Opoka.org.pl, Misyjne.pl</w:t>
      </w:r>
      <w:r w:rsidRPr="002A77CF">
        <w:rPr>
          <w:rFonts w:ascii="Arial" w:hAnsi="Arial" w:cs="Arial"/>
          <w:sz w:val="24"/>
          <w:szCs w:val="24"/>
        </w:rPr>
        <w:t>, Wiara.pl</w:t>
      </w:r>
      <w:r w:rsidRPr="002A77CF">
        <w:rPr>
          <w:rFonts w:ascii="Arial" w:hAnsi="Arial" w:cs="Arial"/>
          <w:sz w:val="24"/>
          <w:szCs w:val="24"/>
          <w:shd w:val="clear" w:color="auto" w:fill="FFFFFF"/>
        </w:rPr>
        <w:t>, Radio Nadzieja, Radio Doxa</w:t>
      </w:r>
      <w:r w:rsidRPr="002A77CF">
        <w:rPr>
          <w:rFonts w:ascii="Arial" w:hAnsi="Arial" w:cs="Arial"/>
          <w:sz w:val="24"/>
          <w:szCs w:val="24"/>
        </w:rPr>
        <w:t>, Radio Emaus</w:t>
      </w:r>
    </w:p>
    <w:p w14:paraId="450DBF50" w14:textId="09213BEB" w:rsidR="00DC4B89" w:rsidRPr="002A77CF" w:rsidRDefault="00DC4B89" w:rsidP="002A77CF">
      <w:pPr>
        <w:spacing w:line="240" w:lineRule="auto"/>
        <w:contextualSpacing/>
        <w:rPr>
          <w:rStyle w:val="Uwydatnienie"/>
          <w:rFonts w:ascii="Arial" w:hAnsi="Arial" w:cs="Arial"/>
          <w:b/>
          <w:bCs/>
          <w:i w:val="0"/>
          <w:iCs w:val="0"/>
          <w:sz w:val="24"/>
          <w:szCs w:val="24"/>
        </w:rPr>
      </w:pPr>
      <w:r w:rsidRPr="002A77CF">
        <w:rPr>
          <w:rStyle w:val="Uwydatnienie"/>
          <w:rFonts w:ascii="Arial" w:hAnsi="Arial" w:cs="Arial"/>
          <w:b/>
          <w:bCs/>
          <w:i w:val="0"/>
          <w:iCs w:val="0"/>
          <w:sz w:val="24"/>
          <w:szCs w:val="24"/>
        </w:rPr>
        <w:t>O autorze:</w:t>
      </w:r>
    </w:p>
    <w:p w14:paraId="5B04587F" w14:textId="489FC979" w:rsidR="00DC4B89" w:rsidRPr="002A77CF" w:rsidRDefault="00DC4B89" w:rsidP="002A77CF">
      <w:pPr>
        <w:spacing w:line="240" w:lineRule="auto"/>
        <w:contextualSpacing/>
        <w:rPr>
          <w:rFonts w:ascii="Arial" w:hAnsi="Arial" w:cs="Arial"/>
          <w:sz w:val="24"/>
          <w:szCs w:val="24"/>
          <w:shd w:val="clear" w:color="auto" w:fill="FFFFFF"/>
        </w:rPr>
      </w:pPr>
      <w:r w:rsidRPr="002A77CF">
        <w:rPr>
          <w:rFonts w:ascii="Arial" w:hAnsi="Arial" w:cs="Arial"/>
          <w:b/>
          <w:bCs/>
          <w:sz w:val="24"/>
          <w:szCs w:val="24"/>
          <w:shd w:val="clear" w:color="auto" w:fill="FFFFFF"/>
        </w:rPr>
        <w:t xml:space="preserve">George T. </w:t>
      </w:r>
      <w:proofErr w:type="spellStart"/>
      <w:r w:rsidRPr="002A77CF">
        <w:rPr>
          <w:rFonts w:ascii="Arial" w:hAnsi="Arial" w:cs="Arial"/>
          <w:b/>
          <w:bCs/>
          <w:sz w:val="24"/>
          <w:szCs w:val="24"/>
          <w:shd w:val="clear" w:color="auto" w:fill="FFFFFF"/>
        </w:rPr>
        <w:t>Montague</w:t>
      </w:r>
      <w:proofErr w:type="spellEnd"/>
      <w:r w:rsidRPr="002A77CF">
        <w:rPr>
          <w:rFonts w:ascii="Arial" w:hAnsi="Arial" w:cs="Arial"/>
          <w:b/>
          <w:bCs/>
          <w:sz w:val="24"/>
          <w:szCs w:val="24"/>
          <w:shd w:val="clear" w:color="auto" w:fill="FFFFFF"/>
        </w:rPr>
        <w:t xml:space="preserve"> SM</w:t>
      </w:r>
      <w:r w:rsidRPr="002A77CF">
        <w:rPr>
          <w:rFonts w:ascii="Arial" w:hAnsi="Arial" w:cs="Arial"/>
          <w:sz w:val="24"/>
          <w:szCs w:val="24"/>
          <w:shd w:val="clear" w:color="auto" w:fill="FFFFFF"/>
        </w:rPr>
        <w:t xml:space="preserve"> – dr teologii (Fryburg, Szwajcaria), </w:t>
      </w:r>
      <w:proofErr w:type="spellStart"/>
      <w:r w:rsidRPr="002A77CF">
        <w:rPr>
          <w:rFonts w:ascii="Arial" w:hAnsi="Arial" w:cs="Arial"/>
          <w:sz w:val="24"/>
          <w:szCs w:val="24"/>
          <w:shd w:val="clear" w:color="auto" w:fill="FFFFFF"/>
        </w:rPr>
        <w:t>marianista</w:t>
      </w:r>
      <w:proofErr w:type="spellEnd"/>
      <w:r w:rsidRPr="002A77CF">
        <w:rPr>
          <w:rFonts w:ascii="Arial" w:hAnsi="Arial" w:cs="Arial"/>
          <w:sz w:val="24"/>
          <w:szCs w:val="24"/>
          <w:shd w:val="clear" w:color="auto" w:fill="FFFFFF"/>
        </w:rPr>
        <w:t>. Był rektorem seminarium w Stanach Zjednoczonych i Kanadzie. Przez sześć lat służył jako mistrz nowicjatu w Katmandu w Nepalu. Pełnił funkcję prezesa Katolickiego Towarzystwa Biblijnego Ameryki (</w:t>
      </w:r>
      <w:proofErr w:type="spellStart"/>
      <w:r w:rsidRPr="002A77CF">
        <w:rPr>
          <w:rFonts w:ascii="Arial" w:hAnsi="Arial" w:cs="Arial"/>
          <w:sz w:val="24"/>
          <w:szCs w:val="24"/>
          <w:shd w:val="clear" w:color="auto" w:fill="FFFFFF"/>
        </w:rPr>
        <w:t>Catholic</w:t>
      </w:r>
      <w:proofErr w:type="spellEnd"/>
      <w:r w:rsidRPr="002A77CF">
        <w:rPr>
          <w:rFonts w:ascii="Arial" w:hAnsi="Arial" w:cs="Arial"/>
          <w:sz w:val="24"/>
          <w:szCs w:val="24"/>
          <w:shd w:val="clear" w:color="auto" w:fill="FFFFFF"/>
        </w:rPr>
        <w:t xml:space="preserve"> </w:t>
      </w:r>
      <w:proofErr w:type="spellStart"/>
      <w:r w:rsidRPr="002A77CF">
        <w:rPr>
          <w:rFonts w:ascii="Arial" w:hAnsi="Arial" w:cs="Arial"/>
          <w:sz w:val="24"/>
          <w:szCs w:val="24"/>
          <w:shd w:val="clear" w:color="auto" w:fill="FFFFFF"/>
        </w:rPr>
        <w:t>Biblical</w:t>
      </w:r>
      <w:proofErr w:type="spellEnd"/>
      <w:r w:rsidRPr="002A77CF">
        <w:rPr>
          <w:rFonts w:ascii="Arial" w:hAnsi="Arial" w:cs="Arial"/>
          <w:sz w:val="24"/>
          <w:szCs w:val="24"/>
          <w:shd w:val="clear" w:color="auto" w:fill="FFFFFF"/>
        </w:rPr>
        <w:t xml:space="preserve"> </w:t>
      </w:r>
      <w:proofErr w:type="spellStart"/>
      <w:r w:rsidRPr="002A77CF">
        <w:rPr>
          <w:rFonts w:ascii="Arial" w:hAnsi="Arial" w:cs="Arial"/>
          <w:sz w:val="24"/>
          <w:szCs w:val="24"/>
          <w:shd w:val="clear" w:color="auto" w:fill="FFFFFF"/>
        </w:rPr>
        <w:t>Association</w:t>
      </w:r>
      <w:proofErr w:type="spellEnd"/>
      <w:r w:rsidRPr="002A77CF">
        <w:rPr>
          <w:rFonts w:ascii="Arial" w:hAnsi="Arial" w:cs="Arial"/>
          <w:sz w:val="24"/>
          <w:szCs w:val="24"/>
          <w:shd w:val="clear" w:color="auto" w:fill="FFFFFF"/>
        </w:rPr>
        <w:t xml:space="preserve"> of </w:t>
      </w:r>
      <w:proofErr w:type="spellStart"/>
      <w:r w:rsidRPr="002A77CF">
        <w:rPr>
          <w:rFonts w:ascii="Arial" w:hAnsi="Arial" w:cs="Arial"/>
          <w:sz w:val="24"/>
          <w:szCs w:val="24"/>
          <w:shd w:val="clear" w:color="auto" w:fill="FFFFFF"/>
        </w:rPr>
        <w:t>America</w:t>
      </w:r>
      <w:proofErr w:type="spellEnd"/>
      <w:r w:rsidRPr="002A77CF">
        <w:rPr>
          <w:rFonts w:ascii="Arial" w:hAnsi="Arial" w:cs="Arial"/>
          <w:sz w:val="24"/>
          <w:szCs w:val="24"/>
          <w:shd w:val="clear" w:color="auto" w:fill="FFFFFF"/>
        </w:rPr>
        <w:t xml:space="preserve">), a także redaktora „The </w:t>
      </w:r>
      <w:proofErr w:type="spellStart"/>
      <w:r w:rsidRPr="002A77CF">
        <w:rPr>
          <w:rFonts w:ascii="Arial" w:hAnsi="Arial" w:cs="Arial"/>
          <w:sz w:val="24"/>
          <w:szCs w:val="24"/>
          <w:shd w:val="clear" w:color="auto" w:fill="FFFFFF"/>
        </w:rPr>
        <w:t>Catholic</w:t>
      </w:r>
      <w:proofErr w:type="spellEnd"/>
      <w:r w:rsidRPr="002A77CF">
        <w:rPr>
          <w:rFonts w:ascii="Arial" w:hAnsi="Arial" w:cs="Arial"/>
          <w:sz w:val="24"/>
          <w:szCs w:val="24"/>
          <w:shd w:val="clear" w:color="auto" w:fill="FFFFFF"/>
        </w:rPr>
        <w:t xml:space="preserve"> </w:t>
      </w:r>
      <w:proofErr w:type="spellStart"/>
      <w:r w:rsidRPr="002A77CF">
        <w:rPr>
          <w:rFonts w:ascii="Arial" w:hAnsi="Arial" w:cs="Arial"/>
          <w:sz w:val="24"/>
          <w:szCs w:val="24"/>
          <w:shd w:val="clear" w:color="auto" w:fill="FFFFFF"/>
        </w:rPr>
        <w:t>Biblical</w:t>
      </w:r>
      <w:proofErr w:type="spellEnd"/>
      <w:r w:rsidRPr="002A77CF">
        <w:rPr>
          <w:rFonts w:ascii="Arial" w:hAnsi="Arial" w:cs="Arial"/>
          <w:sz w:val="24"/>
          <w:szCs w:val="24"/>
          <w:shd w:val="clear" w:color="auto" w:fill="FFFFFF"/>
        </w:rPr>
        <w:t xml:space="preserve"> </w:t>
      </w:r>
      <w:proofErr w:type="spellStart"/>
      <w:r w:rsidRPr="002A77CF">
        <w:rPr>
          <w:rFonts w:ascii="Arial" w:hAnsi="Arial" w:cs="Arial"/>
          <w:sz w:val="24"/>
          <w:szCs w:val="24"/>
          <w:shd w:val="clear" w:color="auto" w:fill="FFFFFF"/>
        </w:rPr>
        <w:t>Quarterly</w:t>
      </w:r>
      <w:proofErr w:type="spellEnd"/>
      <w:r w:rsidRPr="002A77CF">
        <w:rPr>
          <w:rFonts w:ascii="Arial" w:hAnsi="Arial" w:cs="Arial"/>
          <w:sz w:val="24"/>
          <w:szCs w:val="24"/>
          <w:shd w:val="clear" w:color="auto" w:fill="FFFFFF"/>
        </w:rPr>
        <w:t xml:space="preserve">”. Obecnie pracuje jako profesor teologii na St. </w:t>
      </w:r>
      <w:proofErr w:type="spellStart"/>
      <w:r w:rsidRPr="002A77CF">
        <w:rPr>
          <w:rFonts w:ascii="Arial" w:hAnsi="Arial" w:cs="Arial"/>
          <w:sz w:val="24"/>
          <w:szCs w:val="24"/>
          <w:shd w:val="clear" w:color="auto" w:fill="FFFFFF"/>
        </w:rPr>
        <w:t>Mary’s</w:t>
      </w:r>
      <w:proofErr w:type="spellEnd"/>
      <w:r w:rsidRPr="002A77CF">
        <w:rPr>
          <w:rFonts w:ascii="Arial" w:hAnsi="Arial" w:cs="Arial"/>
          <w:sz w:val="24"/>
          <w:szCs w:val="24"/>
          <w:shd w:val="clear" w:color="auto" w:fill="FFFFFF"/>
        </w:rPr>
        <w:t xml:space="preserve"> University w San Antonio w Teksasie. Jest cenionym wykładowcą. Głosił konferencje na sześciu kontynentach. Napisał ponad trzydzieści książek, zarówno naukowych, jak i popularnych, na temat duchowości, Starego i Nowego Testamentu, teologii Ducha Świętego. W 1995 roku założył (wraz z o. Bobem Hoganem) nową wspólnotę zakonną, należącą do rodziny </w:t>
      </w:r>
      <w:proofErr w:type="spellStart"/>
      <w:r w:rsidRPr="002A77CF">
        <w:rPr>
          <w:rFonts w:ascii="Arial" w:hAnsi="Arial" w:cs="Arial"/>
          <w:sz w:val="24"/>
          <w:szCs w:val="24"/>
          <w:shd w:val="clear" w:color="auto" w:fill="FFFFFF"/>
        </w:rPr>
        <w:t>marianistów</w:t>
      </w:r>
      <w:proofErr w:type="spellEnd"/>
      <w:r w:rsidRPr="002A77CF">
        <w:rPr>
          <w:rFonts w:ascii="Arial" w:hAnsi="Arial" w:cs="Arial"/>
          <w:sz w:val="24"/>
          <w:szCs w:val="24"/>
          <w:shd w:val="clear" w:color="auto" w:fill="FFFFFF"/>
        </w:rPr>
        <w:t>: Braci Umiłowanego Ucznia (</w:t>
      </w:r>
      <w:proofErr w:type="spellStart"/>
      <w:r w:rsidRPr="002A77CF">
        <w:rPr>
          <w:rFonts w:ascii="Arial" w:hAnsi="Arial" w:cs="Arial"/>
          <w:sz w:val="24"/>
          <w:szCs w:val="24"/>
          <w:shd w:val="clear" w:color="auto" w:fill="FFFFFF"/>
        </w:rPr>
        <w:t>Brothers</w:t>
      </w:r>
      <w:proofErr w:type="spellEnd"/>
      <w:r w:rsidRPr="002A77CF">
        <w:rPr>
          <w:rFonts w:ascii="Arial" w:hAnsi="Arial" w:cs="Arial"/>
          <w:sz w:val="24"/>
          <w:szCs w:val="24"/>
          <w:shd w:val="clear" w:color="auto" w:fill="FFFFFF"/>
        </w:rPr>
        <w:t xml:space="preserve"> of the </w:t>
      </w:r>
      <w:proofErr w:type="spellStart"/>
      <w:r w:rsidRPr="002A77CF">
        <w:rPr>
          <w:rFonts w:ascii="Arial" w:hAnsi="Arial" w:cs="Arial"/>
          <w:sz w:val="24"/>
          <w:szCs w:val="24"/>
          <w:shd w:val="clear" w:color="auto" w:fill="FFFFFF"/>
        </w:rPr>
        <w:t>Beloved</w:t>
      </w:r>
      <w:proofErr w:type="spellEnd"/>
      <w:r w:rsidRPr="002A77CF">
        <w:rPr>
          <w:rFonts w:ascii="Arial" w:hAnsi="Arial" w:cs="Arial"/>
          <w:sz w:val="24"/>
          <w:szCs w:val="24"/>
          <w:shd w:val="clear" w:color="auto" w:fill="FFFFFF"/>
        </w:rPr>
        <w:t xml:space="preserve"> </w:t>
      </w:r>
      <w:proofErr w:type="spellStart"/>
      <w:r w:rsidRPr="002A77CF">
        <w:rPr>
          <w:rFonts w:ascii="Arial" w:hAnsi="Arial" w:cs="Arial"/>
          <w:sz w:val="24"/>
          <w:szCs w:val="24"/>
          <w:shd w:val="clear" w:color="auto" w:fill="FFFFFF"/>
        </w:rPr>
        <w:t>Disciple</w:t>
      </w:r>
      <w:proofErr w:type="spellEnd"/>
      <w:r w:rsidRPr="002A77CF">
        <w:rPr>
          <w:rFonts w:ascii="Arial" w:hAnsi="Arial" w:cs="Arial"/>
          <w:sz w:val="24"/>
          <w:szCs w:val="24"/>
          <w:shd w:val="clear" w:color="auto" w:fill="FFFFFF"/>
        </w:rPr>
        <w:t>), którą kieruje do dzisiaj.</w:t>
      </w:r>
    </w:p>
    <w:p w14:paraId="350108E4" w14:textId="03BED5D1" w:rsidR="00DC4B89" w:rsidRPr="002A77CF" w:rsidRDefault="00DC4B89" w:rsidP="002A77CF">
      <w:pPr>
        <w:spacing w:line="240" w:lineRule="auto"/>
        <w:contextualSpacing/>
        <w:rPr>
          <w:rFonts w:ascii="Arial" w:hAnsi="Arial" w:cs="Arial"/>
          <w:sz w:val="24"/>
          <w:szCs w:val="24"/>
          <w:shd w:val="clear" w:color="auto" w:fill="FFFFFF"/>
        </w:rPr>
      </w:pPr>
    </w:p>
    <w:p w14:paraId="4B1D753D" w14:textId="3A2C3BCB" w:rsidR="00DC4B89" w:rsidRPr="002A77CF" w:rsidRDefault="00DC4B89" w:rsidP="002A77CF">
      <w:pPr>
        <w:spacing w:line="240" w:lineRule="auto"/>
        <w:contextualSpacing/>
        <w:rPr>
          <w:rFonts w:ascii="Arial" w:hAnsi="Arial" w:cs="Arial"/>
          <w:b/>
          <w:bCs/>
          <w:sz w:val="24"/>
          <w:szCs w:val="24"/>
          <w:shd w:val="clear" w:color="auto" w:fill="FFFFFF"/>
        </w:rPr>
      </w:pPr>
      <w:r w:rsidRPr="002A77CF">
        <w:rPr>
          <w:rFonts w:ascii="Arial" w:hAnsi="Arial" w:cs="Arial"/>
          <w:b/>
          <w:bCs/>
          <w:sz w:val="24"/>
          <w:szCs w:val="24"/>
          <w:shd w:val="clear" w:color="auto" w:fill="FFFFFF"/>
        </w:rPr>
        <w:t>O serii:</w:t>
      </w:r>
    </w:p>
    <w:p w14:paraId="4DFE9CD6" w14:textId="004AD636" w:rsidR="00DC4B89" w:rsidRPr="002A77CF" w:rsidRDefault="00DC4B89" w:rsidP="002A77CF">
      <w:pPr>
        <w:spacing w:line="240" w:lineRule="auto"/>
        <w:contextualSpacing/>
        <w:rPr>
          <w:rFonts w:ascii="Arial" w:hAnsi="Arial" w:cs="Arial"/>
          <w:b/>
          <w:bCs/>
          <w:sz w:val="24"/>
          <w:szCs w:val="24"/>
        </w:rPr>
      </w:pPr>
      <w:r w:rsidRPr="002A77CF">
        <w:rPr>
          <w:rFonts w:ascii="Arial" w:hAnsi="Arial" w:cs="Arial"/>
          <w:sz w:val="24"/>
          <w:szCs w:val="24"/>
        </w:rPr>
        <w:t>Przystępna, praktyczna, rzetelna </w:t>
      </w:r>
      <w:r w:rsidRPr="002A77CF">
        <w:rPr>
          <w:rStyle w:val="Uwydatnienie"/>
          <w:rFonts w:ascii="Arial" w:hAnsi="Arial" w:cs="Arial"/>
          <w:sz w:val="24"/>
          <w:szCs w:val="24"/>
        </w:rPr>
        <w:t>seria Katolicki Komentarz do Pisma Świętego</w:t>
      </w:r>
      <w:r w:rsidRPr="002A77CF">
        <w:rPr>
          <w:rFonts w:ascii="Arial" w:hAnsi="Arial" w:cs="Arial"/>
          <w:sz w:val="24"/>
          <w:szCs w:val="24"/>
        </w:rPr>
        <w:t> obejmuje 17 tomów komentarzy do każdego zdania Nowego Testamentu. Jej adresatami są zarówno duszpasterze, jak również osoby szukające pomocy w osobistej lekturze Słowa. </w:t>
      </w:r>
      <w:r w:rsidRPr="002A77CF">
        <w:rPr>
          <w:rFonts w:ascii="Arial" w:hAnsi="Arial" w:cs="Arial"/>
          <w:sz w:val="24"/>
          <w:szCs w:val="24"/>
        </w:rPr>
        <w:br/>
        <w:t> </w:t>
      </w:r>
      <w:r w:rsidRPr="002A77CF">
        <w:rPr>
          <w:rFonts w:ascii="Arial" w:hAnsi="Arial" w:cs="Arial"/>
          <w:sz w:val="24"/>
          <w:szCs w:val="24"/>
        </w:rPr>
        <w:br/>
        <w:t>O unikalności serii stanowi po pierwsze fakt przytaczania przez autorów osiągnięć biblistów. Nie zagłębiają się oni w dyskusję, ale prezentują wnioski, które są najbardziej uzasadnione i dość powszechnie akceptowane przez biblistów. Po drugie, wskazują na użycie tekstu w tradycji Kościoła. Obficie odwołują się do Ojców Kościoła, Katechizmu i dogmatów. Po trzecie, wyjaśniają tekst tak, by łatwo można było przełożyć go na praktykę życia i modlitwy. Dzięki temu czytelnik nie musi być studentem biblistyki ani teologiem, księdzem czy katechetą, żeby oprzeć się na przystępnej i rzetelnej interpretacji Biblii przeprowadzonej zgodnie z wytycznymi Soboru Watykańskiego II. </w:t>
      </w:r>
      <w:r w:rsidRPr="002A77CF">
        <w:rPr>
          <w:rFonts w:ascii="Arial" w:hAnsi="Arial" w:cs="Arial"/>
          <w:sz w:val="24"/>
          <w:szCs w:val="24"/>
        </w:rPr>
        <w:br/>
        <w:t> </w:t>
      </w:r>
      <w:r w:rsidRPr="002A77CF">
        <w:rPr>
          <w:rFonts w:ascii="Arial" w:hAnsi="Arial" w:cs="Arial"/>
          <w:sz w:val="24"/>
          <w:szCs w:val="24"/>
        </w:rPr>
        <w:br/>
        <w:t>Oprócz bogactwa merytorycznego poszczególne tomy serii to także przyjazny format, oprawa, skład oraz dwukolorowe wnętrze, pozwalające wyróżnić wybrane elementy dzieła. </w:t>
      </w:r>
      <w:r w:rsidRPr="002A77CF">
        <w:rPr>
          <w:rFonts w:ascii="Arial" w:hAnsi="Arial" w:cs="Arial"/>
          <w:sz w:val="24"/>
          <w:szCs w:val="24"/>
        </w:rPr>
        <w:br/>
        <w:t> </w:t>
      </w:r>
      <w:r w:rsidRPr="002A77CF">
        <w:rPr>
          <w:rFonts w:ascii="Arial" w:hAnsi="Arial" w:cs="Arial"/>
          <w:sz w:val="24"/>
          <w:szCs w:val="24"/>
        </w:rPr>
        <w:br/>
        <w:t>Więcej informacji o </w:t>
      </w:r>
      <w:r w:rsidRPr="0042712C">
        <w:rPr>
          <w:rStyle w:val="Uwydatnienie"/>
          <w:rFonts w:ascii="Arial" w:hAnsi="Arial" w:cs="Arial"/>
          <w:i w:val="0"/>
          <w:iCs w:val="0"/>
          <w:sz w:val="24"/>
          <w:szCs w:val="24"/>
        </w:rPr>
        <w:t>serii</w:t>
      </w:r>
      <w:r w:rsidRPr="002A77CF">
        <w:rPr>
          <w:rStyle w:val="Uwydatnienie"/>
          <w:rFonts w:ascii="Arial" w:hAnsi="Arial" w:cs="Arial"/>
          <w:sz w:val="24"/>
          <w:szCs w:val="24"/>
        </w:rPr>
        <w:t> Katolicki Komentarz do Pisma Świętego</w:t>
      </w:r>
      <w:r w:rsidRPr="002A77CF">
        <w:rPr>
          <w:rFonts w:ascii="Arial" w:hAnsi="Arial" w:cs="Arial"/>
          <w:sz w:val="24"/>
          <w:szCs w:val="24"/>
        </w:rPr>
        <w:t> na stronie: </w:t>
      </w:r>
      <w:hyperlink r:id="rId4" w:tgtFrame="_blank" w:history="1">
        <w:r w:rsidRPr="002A77CF">
          <w:rPr>
            <w:rStyle w:val="Hipercze"/>
            <w:rFonts w:ascii="Arial" w:hAnsi="Arial" w:cs="Arial"/>
            <w:color w:val="auto"/>
            <w:sz w:val="24"/>
            <w:szCs w:val="24"/>
          </w:rPr>
          <w:t>kkps.wdrodze.pl</w:t>
        </w:r>
      </w:hyperlink>
      <w:r w:rsidRPr="002A77CF">
        <w:rPr>
          <w:rFonts w:ascii="Arial" w:hAnsi="Arial" w:cs="Arial"/>
          <w:sz w:val="24"/>
          <w:szCs w:val="24"/>
        </w:rPr>
        <w:t>. </w:t>
      </w:r>
    </w:p>
    <w:sectPr w:rsidR="00DC4B89" w:rsidRPr="002A7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67"/>
    <w:rsid w:val="001E5134"/>
    <w:rsid w:val="002A77CF"/>
    <w:rsid w:val="002C74AB"/>
    <w:rsid w:val="0042712C"/>
    <w:rsid w:val="00442CD0"/>
    <w:rsid w:val="007D3B65"/>
    <w:rsid w:val="00AB5957"/>
    <w:rsid w:val="00B55A9D"/>
    <w:rsid w:val="00BC2801"/>
    <w:rsid w:val="00DC4B89"/>
    <w:rsid w:val="00E34F77"/>
    <w:rsid w:val="00F71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77E2"/>
  <w15:chartTrackingRefBased/>
  <w15:docId w15:val="{D3EDF949-1AFC-4085-B49C-0752F368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DC4B89"/>
    <w:rPr>
      <w:i/>
      <w:iCs/>
    </w:rPr>
  </w:style>
  <w:style w:type="character" w:styleId="Hipercze">
    <w:name w:val="Hyperlink"/>
    <w:basedOn w:val="Domylnaczcionkaakapitu"/>
    <w:uiPriority w:val="99"/>
    <w:semiHidden/>
    <w:unhideWhenUsed/>
    <w:rsid w:val="00DC4B89"/>
    <w:rPr>
      <w:color w:val="0000FF"/>
      <w:u w:val="single"/>
    </w:rPr>
  </w:style>
  <w:style w:type="paragraph" w:styleId="Poprawka">
    <w:name w:val="Revision"/>
    <w:hidden/>
    <w:uiPriority w:val="99"/>
    <w:semiHidden/>
    <w:rsid w:val="00AB5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kps.wdrod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746</Words>
  <Characters>4478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Kaniewska</dc:creator>
  <cp:keywords/>
  <dc:description/>
  <cp:lastModifiedBy>Magdalena Kaniewska</cp:lastModifiedBy>
  <cp:revision>5</cp:revision>
  <dcterms:created xsi:type="dcterms:W3CDTF">2023-02-08T11:24:00Z</dcterms:created>
  <dcterms:modified xsi:type="dcterms:W3CDTF">2023-02-08T11:42:00Z</dcterms:modified>
</cp:coreProperties>
</file>