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6481" w14:textId="27632014" w:rsidR="007A2C23" w:rsidRPr="006A4569" w:rsidRDefault="007A2C23" w:rsidP="007A2C23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sz w:val="24"/>
          <w:szCs w:val="24"/>
          <w:lang w:eastAsia="pl-PL"/>
        </w:rPr>
        <w:t>Poznań, styczeń 2023 r.</w:t>
      </w:r>
    </w:p>
    <w:p w14:paraId="1D08D77A" w14:textId="773F26E7" w:rsidR="007A2C23" w:rsidRPr="006A4569" w:rsidRDefault="007A2C23" w:rsidP="007A2C23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C465FA" w14:textId="3D8E19D4" w:rsidR="007A2C23" w:rsidRPr="006A4569" w:rsidRDefault="007A2C23" w:rsidP="007A2C23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sz w:val="24"/>
          <w:szCs w:val="24"/>
          <w:lang w:eastAsia="pl-PL"/>
        </w:rPr>
        <w:t>INFORMACJA PRASOWA</w:t>
      </w:r>
    </w:p>
    <w:p w14:paraId="54A2B125" w14:textId="77777777" w:rsidR="007A2C23" w:rsidRPr="006A4569" w:rsidRDefault="007A2C23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DBE1193" w14:textId="20D268B0" w:rsidR="007A2C23" w:rsidRPr="006A4569" w:rsidRDefault="000B09CB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Objaśnienie „Polityki”, Tomasz z Akwinu</w:t>
      </w:r>
      <w:r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seria</w:t>
      </w:r>
      <w:r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7A2C23"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Dzieła wszystkie</w:t>
      </w:r>
      <w:r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Tomasza z Akwinu</w:t>
      </w:r>
      <w:r w:rsidR="007A2C23"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, </w:t>
      </w:r>
      <w:r w:rsidR="007A2C23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t. 43</w:t>
      </w:r>
    </w:p>
    <w:p w14:paraId="688ACE5A" w14:textId="1D9AC74D" w:rsidR="00033C2B" w:rsidRPr="006A4569" w:rsidRDefault="002F4D05" w:rsidP="006A4569">
      <w:pPr>
        <w:spacing w:after="4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Poprzez </w:t>
      </w:r>
      <w:r w:rsidR="00554DC0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powstające kompletne wydanie </w:t>
      </w:r>
      <w:r w:rsidR="00B56F0A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dzieł Tomasza z Akwinu w języku polskim </w:t>
      </w:r>
      <w:r w:rsidR="004A06BF" w:rsidRPr="006A456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olscy czytelnicy, nie tylko teolodzy i filozofowie, ale wszyscy zainteresowani kulturą, otrzymują właśnie bezpośredni dostęp zarówno do myśli </w:t>
      </w:r>
      <w:proofErr w:type="spellStart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Akwinaty</w:t>
      </w:r>
      <w:proofErr w:type="spellEnd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, jak również do jego rzetelnej metody dyskursywnego dochodzenia do prawdy. Święty Tomasz uczy intelektualnej uczciwości i odwagi, </w:t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precyzji myślenia i wytrwałości w dążeniu do prawdy,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otwartości na różne</w:t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3C2B" w:rsidRPr="006A4569">
        <w:rPr>
          <w:rFonts w:ascii="Arial" w:hAnsi="Arial" w:cs="Arial"/>
          <w:sz w:val="24"/>
          <w:szCs w:val="24"/>
        </w:rPr>
        <w:t>–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także „nieortodoksyjne”</w:t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3C2B" w:rsidRPr="006A4569">
        <w:rPr>
          <w:rFonts w:ascii="Arial" w:hAnsi="Arial" w:cs="Arial"/>
          <w:sz w:val="24"/>
          <w:szCs w:val="24"/>
        </w:rPr>
        <w:t>–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nurty filozoficzne</w:t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904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Wszystkie te cechy umiejscawiają go </w:t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wśród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najwybitniejszych duchowych i intelektualnych mistrzów naszej kultury, a jego dzieła</w:t>
      </w:r>
      <w:r w:rsidR="007F6FE3" w:rsidRPr="006A4569">
        <w:rPr>
          <w:rFonts w:ascii="Arial" w:hAnsi="Arial" w:cs="Arial"/>
          <w:sz w:val="24"/>
          <w:szCs w:val="24"/>
        </w:rPr>
        <w:t>, należące do europejskiego i światowego kanonu intelektualnego, stanowią ważną inspirację do pogłębionych intelektualnych poszukiwań.  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Hlk124765284"/>
      <w:r w:rsidR="007F6FE3" w:rsidRPr="006A4569">
        <w:rPr>
          <w:rFonts w:ascii="Arial" w:hAnsi="Arial" w:cs="Arial"/>
          <w:sz w:val="24"/>
          <w:szCs w:val="24"/>
        </w:rPr>
        <w:t xml:space="preserve">– 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Chociaż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Objaśnienie „Polityki” 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Arystotelesa (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Sententia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libri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Politicorum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 z całą pewnością nie należy do grupy tych pism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Akwinaty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w których wyraził on swoje stanowisko na temat fundamentalnych problemów filozofii i teologii w sposób najbardziej wyczerpujący i dopracowany, to jednak błędem byłoby traktowanie tego komentarza jako odgrywającego marginalną rolę w całym korpusie dzieł Doktora Powszechnego. Już choćby z racji czysto historycznych powinno się uznać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Objaśnienie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za dzieło o dużym znaczeniu. Stanowi ono bowiem – obok podobnego komentarza Alberta Wielkiego – jedno z pierwszych świadectw recepcji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Polityki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Arystotelesa po setkach lat nieobecności tego pisma w powszechnym obiegu. Powstanie komentarzy Alberta i Tomasza wyznacza więc początek ważnego etapu rozwoju filozofii polityki na Zachodzie, w którym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Polityka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stanie się jednym z zasadniczych punktów odniesienia, tekstem szeroko dyskutowanym i komentowanym. W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Objaśnieniu „Polityki”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odnajdujemy zatem najwcześniejszą interpretację politycznego nauczania Arystotelesa, dokonaną niedługo po tym, jak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Polityka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stała się na powrót znana czytelnikom i uczonym świata zachodniego. Już sam ten fakt powinien nas skłonić do uważnego przyjrzenia się temu komentarzowi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6FE3" w:rsidRPr="006A4569">
        <w:rPr>
          <w:rFonts w:ascii="Arial" w:hAnsi="Arial" w:cs="Arial"/>
          <w:sz w:val="24"/>
          <w:szCs w:val="24"/>
        </w:rPr>
        <w:t>– czytamy we Wprowadzeniu do</w:t>
      </w:r>
      <w:r w:rsidR="00033C2B" w:rsidRPr="006A4569">
        <w:rPr>
          <w:rFonts w:ascii="Arial" w:hAnsi="Arial" w:cs="Arial"/>
          <w:sz w:val="24"/>
          <w:szCs w:val="24"/>
        </w:rPr>
        <w:t xml:space="preserve">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Dzieła wszystkie, t. 43, Objaśnienie 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Polityki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7F6FE3" w:rsidRPr="006A456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(tytuł oryginalny: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Sententia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libri</w:t>
      </w:r>
      <w:proofErr w:type="spellEnd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Politicorum</w:t>
      </w:r>
      <w:proofErr w:type="spellEnd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).</w:t>
      </w:r>
      <w:bookmarkEnd w:id="0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1" w:name="_Hlk124765243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Nie tylko jednak racje historyczne powodują, że dzieło to należy uznać za istotne. Wprawdzie streszcza ono i porządk</w:t>
      </w:r>
      <w:r w:rsidR="00515A34" w:rsidRPr="006A4569">
        <w:rPr>
          <w:rFonts w:ascii="Arial" w:eastAsia="Times New Roman" w:hAnsi="Arial" w:cs="Arial"/>
          <w:sz w:val="24"/>
          <w:szCs w:val="24"/>
          <w:lang w:eastAsia="pl-PL"/>
        </w:rPr>
        <w:t>uje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z dużą starannością tekst </w:t>
      </w:r>
      <w:proofErr w:type="spellStart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Stagiryty</w:t>
      </w:r>
      <w:proofErr w:type="spellEnd"/>
      <w:r w:rsidR="00515A34" w:rsidRPr="006A4569">
        <w:rPr>
          <w:rFonts w:ascii="Arial" w:eastAsia="Times New Roman" w:hAnsi="Arial" w:cs="Arial"/>
          <w:sz w:val="24"/>
          <w:szCs w:val="24"/>
          <w:lang w:eastAsia="pl-PL"/>
        </w:rPr>
        <w:t>, j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ednak w niektórych jego fragmentach przebijają się także osobiste refleksje św. Tomasza. Przybierają one postać niewielkich, ewidentnie odautorskich uwag lub prób </w:t>
      </w:r>
      <w:proofErr w:type="spellStart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uspójnienia</w:t>
      </w:r>
      <w:proofErr w:type="spellEnd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komentowanego tekstu za pomocą jakiejś naczelnej idei, mającej połączyć ze sobą wiele rozproszonych wątków. Przyglądanie się myśli Tomasza</w:t>
      </w:r>
      <w:r w:rsidR="0019047F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komentator</w:t>
      </w:r>
      <w:r w:rsidR="0019047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jest pouczające</w:t>
      </w:r>
      <w:r w:rsidR="00515A34" w:rsidRPr="006A4569">
        <w:rPr>
          <w:rFonts w:ascii="Arial" w:eastAsia="Times New Roman" w:hAnsi="Arial" w:cs="Arial"/>
          <w:sz w:val="24"/>
          <w:szCs w:val="24"/>
          <w:lang w:eastAsia="pl-PL"/>
        </w:rPr>
        <w:t>, p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ozwala bowiem wyszczególnić te treści, które w 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Polityce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Arystotelesa szczególnie żywo </w:t>
      </w:r>
      <w:r w:rsidR="00515A34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wpływały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na umysłowość </w:t>
      </w:r>
      <w:proofErr w:type="spellStart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Akwinaty</w:t>
      </w:r>
      <w:proofErr w:type="spellEnd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, a przez to również na całą średniowieczną i późniejszą kulturę filozoficzną.</w:t>
      </w:r>
      <w:bookmarkEnd w:id="1"/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br/>
        <w:t>Drugi</w:t>
      </w:r>
      <w:r w:rsidR="00515A34" w:rsidRPr="006A456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tytułem 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serii 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Dzieła wszystkie</w:t>
      </w:r>
      <w:r w:rsidR="000B09CB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Tomasza z Akwinu 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t. 32</w:t>
      </w:r>
      <w:r w:rsidR="000B09CB" w:rsidRPr="006A4569">
        <w:rPr>
          <w:rFonts w:ascii="Arial" w:hAnsi="Arial" w:cs="Arial"/>
          <w:sz w:val="24"/>
          <w:szCs w:val="24"/>
        </w:rPr>
        <w:t xml:space="preserve"> –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Mniejsze </w:t>
      </w:r>
      <w:r w:rsidR="007F6FE3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>kwestie dyskutowane</w:t>
      </w:r>
      <w:r w:rsidR="00492613" w:rsidRPr="006A456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W 2023 roku planujemy wydanie łącznie ośmiu tomów </w:t>
      </w:r>
      <w:r w:rsidR="000550DA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tej </w:t>
      </w:r>
      <w:r w:rsidR="000B09CB" w:rsidRPr="006A4569">
        <w:rPr>
          <w:rFonts w:ascii="Arial" w:eastAsia="Times New Roman" w:hAnsi="Arial" w:cs="Arial"/>
          <w:sz w:val="24"/>
          <w:szCs w:val="24"/>
          <w:lang w:eastAsia="pl-PL"/>
        </w:rPr>
        <w:t>serii</w:t>
      </w:r>
      <w:r w:rsidR="007F6FE3" w:rsidRPr="006A456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A4569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A4569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Wydanie pierwszego w Polsce kompletnego przekładu dzieł </w:t>
      </w:r>
      <w:proofErr w:type="spellStart"/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>Akwinaty</w:t>
      </w:r>
      <w:proofErr w:type="spellEnd"/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możliwe jest dzięki trójstronnej współpracy Instytutu Tomistycznego, Fundacji Pro Futuro </w:t>
      </w:r>
      <w:proofErr w:type="spellStart"/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>Theologiae</w:t>
      </w:r>
      <w:proofErr w:type="spellEnd"/>
      <w:r w:rsidR="00033C2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i Wydawnictwa W drodze. Patronat honorowy nad projektem objął Minister Edukacji i Nauki.</w:t>
      </w:r>
    </w:p>
    <w:p w14:paraId="7618D3F5" w14:textId="08BD634F" w:rsidR="00A95321" w:rsidRPr="006A4569" w:rsidRDefault="00A95321" w:rsidP="00786D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786D27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autorze:</w:t>
      </w:r>
      <w:r w:rsidR="00786D27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Tomasz z Akwinu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jest niewątpliwie jednym z najwybitniejszych myślicieli Zachodu. Urodził się ok. 1224 roku na zamku swoich rodziców w </w:t>
      </w:r>
      <w:proofErr w:type="spellStart"/>
      <w:r w:rsidRPr="006A4569">
        <w:rPr>
          <w:rFonts w:ascii="Arial" w:eastAsia="Times New Roman" w:hAnsi="Arial" w:cs="Arial"/>
          <w:sz w:val="24"/>
          <w:szCs w:val="24"/>
          <w:lang w:eastAsia="pl-PL"/>
        </w:rPr>
        <w:t>Roccasecca</w:t>
      </w:r>
      <w:proofErr w:type="spellEnd"/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w południowej Italii. Wychowany przez benedyktynów na Monte Cassino, wstąpił do założonego kilkadziesiąt lat wcześniej zakonu dominikanów. Po okresie formacji podjął pracę wykładowcy. Działał między innymi w Kolonii, Paryżu i miastach uniwersyteckich Italii. Umarł w 1274 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w drodze na Sobór Lyoński. Został kanonizowany 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>49 lat później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. Od wieków św. Tomasz jest dla Kościoła katolickiego jednym z najważniejszych punktów odniesienia w interpretowaniu wiary (nieprzypadkowo otrzymał tytuł </w:t>
      </w:r>
      <w:proofErr w:type="spellStart"/>
      <w:r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doctor</w:t>
      </w:r>
      <w:proofErr w:type="spellEnd"/>
      <w:r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communis</w:t>
      </w:r>
      <w:proofErr w:type="spellEnd"/>
      <w:r w:rsidRPr="006A4569">
        <w:rPr>
          <w:rFonts w:ascii="Arial" w:eastAsia="Times New Roman" w:hAnsi="Arial" w:cs="Arial"/>
          <w:sz w:val="24"/>
          <w:szCs w:val="24"/>
          <w:lang w:eastAsia="pl-PL"/>
        </w:rPr>
        <w:t>, „doktor powszechny”). Jest ceniony także jako filozof, zwłaszcza gdy chodzi o metafizykę, teorię poznania i etykę. Jego spuścizna obejmuje nie tylko komentarze do Biblii czy traktaty teologiczne, ale także komentarze do dzieł filozofów starożytnych (Arystoteles, Boecjusz) oraz samodzielne pisma filozoficzne.</w:t>
      </w:r>
    </w:p>
    <w:p w14:paraId="517AAD3A" w14:textId="6497781B" w:rsidR="00F25C51" w:rsidRPr="006A4569" w:rsidRDefault="00BF2644" w:rsidP="00BF2644">
      <w:pPr>
        <w:rPr>
          <w:rFonts w:ascii="Arial" w:hAnsi="Arial" w:cs="Arial"/>
          <w:b/>
          <w:bCs/>
          <w:sz w:val="24"/>
          <w:szCs w:val="24"/>
        </w:rPr>
      </w:pPr>
      <w:r w:rsidRPr="006A4569">
        <w:rPr>
          <w:rFonts w:ascii="Arial" w:hAnsi="Arial" w:cs="Arial"/>
          <w:b/>
          <w:bCs/>
          <w:sz w:val="24"/>
          <w:szCs w:val="24"/>
        </w:rPr>
        <w:t>O serii:</w:t>
      </w:r>
      <w:r w:rsidRPr="006A4569">
        <w:rPr>
          <w:rFonts w:ascii="Arial" w:hAnsi="Arial" w:cs="Arial"/>
          <w:b/>
          <w:bCs/>
          <w:sz w:val="24"/>
          <w:szCs w:val="24"/>
        </w:rPr>
        <w:br/>
      </w:r>
      <w:r w:rsidR="00F25C51" w:rsidRPr="006A4569">
        <w:rPr>
          <w:rFonts w:ascii="Arial" w:eastAsia="Times New Roman" w:hAnsi="Arial" w:cs="Arial"/>
          <w:sz w:val="24"/>
          <w:szCs w:val="24"/>
          <w:lang w:eastAsia="pl-PL"/>
        </w:rPr>
        <w:t>Tomaszowe dzieło, w zależności od tłumaczenia, liczy od kilkunastu do kilkudziesięciu tysięcy stron. Do jego spuścizny odwołują się nie tylko katolicy, lecz również chrześcijanie innych wyznań, a także niewierzący specjaliści rozmaitych nauk humanistycznych, w tym ekonomiści i politycy. Dzieła św. Tomasza z Akwinu, należące do europejskiego i światowego kanonu intelektualnego, z pewnością stanowią ważną inspirację do pogłębionych intelektualnych poszukiwań.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Seria </w:t>
      </w:r>
      <w:r w:rsidR="00752A8B" w:rsidRPr="006A45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Dzieła wszystkie Tomasza z Akwinu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będzie liczyła 70 tomów.</w:t>
      </w:r>
    </w:p>
    <w:p w14:paraId="448F1C0A" w14:textId="21E79CAC" w:rsidR="00F25C51" w:rsidRPr="006A4569" w:rsidRDefault="00000000" w:rsidP="00BF2644">
      <w:pPr>
        <w:spacing w:after="4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4" w:tgtFrame="_blank" w:history="1">
        <w:r w:rsidR="00BF2644" w:rsidRPr="006A4569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 xml:space="preserve">Mateusz </w:t>
        </w:r>
        <w:proofErr w:type="spellStart"/>
        <w:r w:rsidR="00BF2644" w:rsidRPr="006A4569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Przanowski</w:t>
        </w:r>
        <w:proofErr w:type="spellEnd"/>
        <w:r w:rsidR="00BF2644" w:rsidRPr="006A4569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 xml:space="preserve"> OP</w:t>
        </w:r>
      </w:hyperlink>
      <w:r w:rsidR="00BF2644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dyrektor Instytutu Tomistycznego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: „To wielka radość dla nas, że podjęliśmy się wspólnie przetłumaczenia na język polski i opublikowania wszystkich dzieł św. Tomasza. To ogromne, przytłaczające wręcz swoją wielkością, wyzwanie. Wystarczy wspomnieć, że planujemy przekazać do rąk polskiego </w:t>
      </w:r>
      <w:r w:rsidR="00293ABA" w:rsidRPr="006A456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t>zytelnika aż 70 tomów. Mamy szczerą nadzieję, że nasza praca przyniesie jednak dużo dobra polskiej teologii i filozofii.</w:t>
      </w:r>
      <w:r w:rsidR="00293ABA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93ABA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5" w:tgtFrame="_blank" w:history="1">
        <w:r w:rsidR="00BF2644" w:rsidRPr="006A4569">
          <w:rPr>
            <w:rFonts w:ascii="Arial" w:eastAsia="Times New Roman" w:hAnsi="Arial" w:cs="Arial"/>
            <w:b/>
            <w:bCs/>
            <w:sz w:val="24"/>
            <w:szCs w:val="24"/>
            <w:lang w:eastAsia="pl-PL"/>
          </w:rPr>
          <w:t>ks. dr hab. Piotr Roszak</w:t>
        </w:r>
      </w:hyperlink>
      <w:r w:rsidR="00BF2644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fundator Fundacji Pro Futuro </w:t>
      </w:r>
      <w:proofErr w:type="spellStart"/>
      <w:r w:rsidR="00BF2644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Theologiae</w:t>
      </w:r>
      <w:proofErr w:type="spellEnd"/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4729F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25C51" w:rsidRPr="006A4569">
        <w:rPr>
          <w:rFonts w:ascii="Arial" w:eastAsia="Times New Roman" w:hAnsi="Arial" w:cs="Arial"/>
          <w:sz w:val="24"/>
          <w:szCs w:val="24"/>
          <w:lang w:eastAsia="pl-PL"/>
        </w:rPr>
        <w:t>Ten projekt pozwoli środowisku teologicznemu Uniwersytetu Mikołaja Kopernika, które od lat rozwija badania nad tomizmem biblijnym, na udział w jednym  z najważniejszych w ostatnim czasie projektów dotyczących myśli św. Tomasza z Akwinu, z którego przez długie lata będą czerpać studenci, profesorowie oraz wszyscy, którzy cenią sobie odwagę myślenia i wierność Tradycji. Dostępność źródeł myśli teologicznej jest podstawowa dla wszelkiej odnowy, tak bywało w przeszłości i z pewnością ma sens dla obecnego czasu. Cieszymy się, że nasi współpracownicy, tłumacze oraz badacze, będą mogli wziąć udział w tym ambitnym przedsięwzięciu, a Polska dołączy tym samym do elitarnego grona państw, w których takie projekty są realizowane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14:paraId="140E18D0" w14:textId="69B2B9DB" w:rsidR="0074729F" w:rsidRPr="006A4569" w:rsidRDefault="0074729F" w:rsidP="00BF2644">
      <w:pPr>
        <w:spacing w:after="450" w:line="240" w:lineRule="auto"/>
        <w:rPr>
          <w:rFonts w:ascii="Arial" w:hAnsi="Arial" w:cs="Arial"/>
          <w:sz w:val="24"/>
          <w:szCs w:val="24"/>
        </w:rPr>
      </w:pPr>
      <w:r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Tomasz Grabowski OP, prezes Wydawnictwa W drodze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>: „</w:t>
      </w:r>
      <w:r w:rsidRPr="006A4569">
        <w:rPr>
          <w:rFonts w:ascii="Arial" w:hAnsi="Arial" w:cs="Arial"/>
          <w:sz w:val="24"/>
          <w:szCs w:val="24"/>
        </w:rPr>
        <w:t>W dobie narastającego chaosu, kiedy opinie z trudem oddziela się od wiedzy i faktów, kiedy brakuje rzetelnego namysłu i uczciwej debaty, oddajemy do rąk czytelników dzieła mistrza przejrzystego myślenia, nauczyciela odważnej i otwartej postawy intelektualnej, obrońcy zdrowego rozsądku i rozumnej wiary”.</w:t>
      </w:r>
    </w:p>
    <w:p w14:paraId="7B3DBB22" w14:textId="7947C14C" w:rsidR="00F15BDE" w:rsidRDefault="0089772E" w:rsidP="00F15BDE">
      <w:pPr>
        <w:spacing w:after="450" w:line="240" w:lineRule="auto"/>
        <w:rPr>
          <w:rFonts w:ascii="Arial" w:hAnsi="Arial" w:cs="Arial"/>
          <w:sz w:val="24"/>
          <w:szCs w:val="24"/>
        </w:rPr>
      </w:pPr>
      <w:r w:rsidRPr="006A4569">
        <w:rPr>
          <w:rFonts w:ascii="Arial" w:hAnsi="Arial" w:cs="Arial"/>
          <w:sz w:val="24"/>
          <w:szCs w:val="24"/>
        </w:rPr>
        <w:t xml:space="preserve">Więcej informacji o serii znaleźć można na </w:t>
      </w:r>
      <w:r w:rsidR="00752A8B" w:rsidRPr="006A4569">
        <w:rPr>
          <w:rFonts w:ascii="Arial" w:hAnsi="Arial" w:cs="Arial"/>
          <w:sz w:val="24"/>
          <w:szCs w:val="24"/>
        </w:rPr>
        <w:t>stronach</w:t>
      </w:r>
      <w:r w:rsidRPr="006A456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033C2B" w:rsidRPr="006A4569">
          <w:rPr>
            <w:rStyle w:val="Hipercze"/>
            <w:rFonts w:ascii="Arial" w:hAnsi="Arial" w:cs="Arial"/>
            <w:sz w:val="24"/>
            <w:szCs w:val="24"/>
          </w:rPr>
          <w:t>akwinata.net/</w:t>
        </w:r>
        <w:proofErr w:type="spellStart"/>
        <w:r w:rsidR="00033C2B" w:rsidRPr="006A4569">
          <w:rPr>
            <w:rStyle w:val="Hipercze"/>
            <w:rFonts w:ascii="Arial" w:hAnsi="Arial" w:cs="Arial"/>
            <w:sz w:val="24"/>
            <w:szCs w:val="24"/>
          </w:rPr>
          <w:t>pl</w:t>
        </w:r>
        <w:proofErr w:type="spellEnd"/>
        <w:r w:rsidR="00033C2B" w:rsidRPr="006A4569">
          <w:rPr>
            <w:rStyle w:val="Hipercze"/>
            <w:rFonts w:ascii="Arial" w:hAnsi="Arial" w:cs="Arial"/>
            <w:sz w:val="24"/>
            <w:szCs w:val="24"/>
          </w:rPr>
          <w:t xml:space="preserve"> </w:t>
        </w:r>
      </w:hyperlink>
      <w:r w:rsidR="00B65CBB" w:rsidRPr="006A4569">
        <w:rPr>
          <w:rFonts w:ascii="Arial" w:hAnsi="Arial" w:cs="Arial"/>
          <w:sz w:val="24"/>
          <w:szCs w:val="24"/>
        </w:rPr>
        <w:t xml:space="preserve">oraz </w:t>
      </w:r>
      <w:hyperlink r:id="rId7" w:history="1">
        <w:r w:rsidR="00033C2B" w:rsidRPr="006A4569">
          <w:rPr>
            <w:rStyle w:val="Hipercze"/>
            <w:rFonts w:ascii="Arial" w:hAnsi="Arial" w:cs="Arial"/>
            <w:sz w:val="24"/>
            <w:szCs w:val="24"/>
          </w:rPr>
          <w:t>wdrodze.pl</w:t>
        </w:r>
      </w:hyperlink>
      <w:r w:rsidR="00F15BDE">
        <w:rPr>
          <w:rFonts w:ascii="Arial" w:hAnsi="Arial" w:cs="Arial"/>
          <w:sz w:val="24"/>
          <w:szCs w:val="24"/>
        </w:rPr>
        <w:t>.</w:t>
      </w:r>
    </w:p>
    <w:p w14:paraId="0C951264" w14:textId="44E38DFF" w:rsidR="00F25C51" w:rsidRPr="006A4569" w:rsidRDefault="00F25C51" w:rsidP="00BF2644">
      <w:pPr>
        <w:spacing w:after="4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partnerach projektu</w:t>
      </w:r>
      <w:r w:rsidR="00BF2644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F15B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hyperlink r:id="rId8" w:history="1">
        <w:r w:rsidRPr="006A4569">
          <w:rPr>
            <w:rStyle w:val="Hipercze"/>
            <w:rFonts w:ascii="Arial" w:hAnsi="Arial" w:cs="Arial"/>
            <w:b/>
            <w:bCs/>
            <w:sz w:val="24"/>
            <w:szCs w:val="24"/>
          </w:rPr>
          <w:t xml:space="preserve">Fundacja Pro Futuro </w:t>
        </w:r>
        <w:proofErr w:type="spellStart"/>
        <w:r w:rsidRPr="006A4569">
          <w:rPr>
            <w:rStyle w:val="Hipercze"/>
            <w:rFonts w:ascii="Arial" w:hAnsi="Arial" w:cs="Arial"/>
            <w:b/>
            <w:bCs/>
            <w:sz w:val="24"/>
            <w:szCs w:val="24"/>
          </w:rPr>
          <w:t>Theologiae</w:t>
        </w:r>
        <w:proofErr w:type="spellEnd"/>
        <w:r w:rsidRPr="006A456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 </w:t>
        </w:r>
      </w:hyperlink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została ustanowiona 5 listopada 2014 roku przez trzech fundatorów: Piotra Pawła Orłowskiego, ks. Dariusza Koteckiego oraz ks. Piotra Roszaka. Działająca przy Wydziale Teologicznym Uniwersytetu Mikołaja Kopernika w Toruniu, fundacja postawiła sobie za cel wspieranie i organizowanie działań promocyjnych wyżej wymienionego wydziału. W interesie Pro Futuro </w:t>
      </w:r>
      <w:proofErr w:type="spellStart"/>
      <w:r w:rsidRPr="006A4569">
        <w:rPr>
          <w:rFonts w:ascii="Arial" w:eastAsia="Times New Roman" w:hAnsi="Arial" w:cs="Arial"/>
          <w:sz w:val="24"/>
          <w:szCs w:val="24"/>
          <w:lang w:eastAsia="pl-PL"/>
        </w:rPr>
        <w:t>Theologiae</w:t>
      </w:r>
      <w:proofErr w:type="spellEnd"/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jest zwiększenie liczby studentów a także pomoc w zbudowaniu pozycji naukowej Wydziału Teologicznego, zarówno w Polsce jak i na świecie. W osiągnięciu tego celu ma pomóc inicjowanie badań naukowych z zakresu teologii, filozofii, historii kościoła itp., stąd też zaangażowanie w inicjatywy badawcze, organizowanie konferencji naukowych, czy wspieranie publikacji naukowych na wymienione wyżej tematy.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9" w:history="1">
        <w:r w:rsidR="00BF2644" w:rsidRPr="006A4569">
          <w:rPr>
            <w:rStyle w:val="Hipercze"/>
            <w:rFonts w:ascii="Arial" w:hAnsi="Arial" w:cs="Arial"/>
            <w:b/>
            <w:bCs/>
            <w:sz w:val="24"/>
            <w:szCs w:val="24"/>
            <w:lang w:eastAsia="pl-PL"/>
          </w:rPr>
          <w:t>Instytut Tomistyczny</w:t>
        </w:r>
      </w:hyperlink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 jest instytucją naukową Polskiej Prowincji Dominikanów, powstałą w roku 1958 z inicjatywy kardynała Stefana Wyszyńskiego. Jednym z głównych obszarów działalności Instytutu jest krzewienie myśli św. Tomasza z Akwinu, poprzez m.in. prowadzenie, animowanie i promocję prac badawczych, edytorskich i translatorskich związanych z jego dziełem i myślą. </w:t>
      </w:r>
      <w:r w:rsidR="00442BD6" w:rsidRPr="006A4569">
        <w:rPr>
          <w:rFonts w:ascii="Arial" w:eastAsia="Times New Roman" w:hAnsi="Arial" w:cs="Arial"/>
          <w:sz w:val="24"/>
          <w:szCs w:val="24"/>
          <w:lang w:eastAsia="pl-PL"/>
        </w:rPr>
        <w:t>Instytut p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>rowadz</w:t>
      </w:r>
      <w:r w:rsidR="00442BD6" w:rsidRPr="006A456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="00CD0639" w:rsidRPr="006A456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dotycząc</w:t>
      </w:r>
      <w:r w:rsidR="00CD0639" w:rsidRPr="006A4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historii jego dzieła, jak i </w:t>
      </w:r>
      <w:r w:rsidR="00CD0639"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podejmuje 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>próbę konfrontacji Tomaszowej propozycji ze współczesną filozofią i teologią.</w:t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2644" w:rsidRPr="006A4569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10" w:history="1">
        <w:r w:rsidR="00BF2644" w:rsidRPr="006A4569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Wydawnictwo W drodze</w:t>
        </w:r>
      </w:hyperlink>
      <w:r w:rsidR="00BF2644" w:rsidRPr="006A45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jest częścią aktywności polskich braci dominikanów. Wypełniając misję Świętego Ojca Dominika, pragnie, poprzez swoją działalność, głosić Ewangelię wszystkim, wszędzie i na wszelkie sposoby. Dlatego nieprzerwanie od 1973 roku wydaje opiniotwórczy miesięcznik 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>W drodze</w:t>
      </w:r>
      <w:r w:rsidR="00752A8B" w:rsidRPr="006A4569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6A4569">
        <w:rPr>
          <w:rFonts w:ascii="Arial" w:eastAsia="Times New Roman" w:hAnsi="Arial" w:cs="Arial"/>
          <w:sz w:val="24"/>
          <w:szCs w:val="24"/>
          <w:lang w:eastAsia="pl-PL"/>
        </w:rPr>
        <w:t xml:space="preserve"> oraz starannie wybrane książki. W przystępny sposób mówi o sprawach ważnych dla współczesnego człowieka. Chce dzięki temu budować Kościół na miarę potrzeb i marzeń każdego z nas, ale przede wszystkim na obraz i podobieństwo Boga. Wydawnictwo jest przekonane, że bycie katolikiem jest przywilejem. Dlatego pragnie, by Czytelnicy mogli świadomie przyjąć wybór, którym Bóg ich zaskoczył. By byli z tego dumni, by odważnie nieśli innym ludziom miłość i nadzieję wykraczające poza ramy tymczasowej codzienności.</w:t>
      </w:r>
    </w:p>
    <w:p w14:paraId="5C89EA90" w14:textId="54018E34" w:rsidR="00F25C51" w:rsidRDefault="00F25C51" w:rsidP="00BF2644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B950FB" w14:textId="77777777" w:rsidR="009A3AC3" w:rsidRPr="006A4569" w:rsidRDefault="009A3AC3" w:rsidP="00BF2644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A3AC3" w:rsidRPr="006A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CF"/>
    <w:rsid w:val="00017210"/>
    <w:rsid w:val="00033C2B"/>
    <w:rsid w:val="000550DA"/>
    <w:rsid w:val="000642F5"/>
    <w:rsid w:val="000B09CB"/>
    <w:rsid w:val="00110E4A"/>
    <w:rsid w:val="0016070E"/>
    <w:rsid w:val="00183BAD"/>
    <w:rsid w:val="0019047F"/>
    <w:rsid w:val="00293ABA"/>
    <w:rsid w:val="002F4D05"/>
    <w:rsid w:val="00345E86"/>
    <w:rsid w:val="004114E1"/>
    <w:rsid w:val="00442BD6"/>
    <w:rsid w:val="00484C48"/>
    <w:rsid w:val="00492613"/>
    <w:rsid w:val="004A06BF"/>
    <w:rsid w:val="00515A34"/>
    <w:rsid w:val="00554DC0"/>
    <w:rsid w:val="00582602"/>
    <w:rsid w:val="0066778E"/>
    <w:rsid w:val="00683670"/>
    <w:rsid w:val="006A4569"/>
    <w:rsid w:val="00745948"/>
    <w:rsid w:val="0074729F"/>
    <w:rsid w:val="007507CF"/>
    <w:rsid w:val="00752A8B"/>
    <w:rsid w:val="00786D27"/>
    <w:rsid w:val="00786D89"/>
    <w:rsid w:val="007A2C23"/>
    <w:rsid w:val="007F6FE3"/>
    <w:rsid w:val="0089772E"/>
    <w:rsid w:val="008A767F"/>
    <w:rsid w:val="009A3AC3"/>
    <w:rsid w:val="00A95321"/>
    <w:rsid w:val="00AC3178"/>
    <w:rsid w:val="00B4079D"/>
    <w:rsid w:val="00B56F0A"/>
    <w:rsid w:val="00B65CBB"/>
    <w:rsid w:val="00BC4EAB"/>
    <w:rsid w:val="00BF2644"/>
    <w:rsid w:val="00C23255"/>
    <w:rsid w:val="00C77014"/>
    <w:rsid w:val="00C77563"/>
    <w:rsid w:val="00CD0639"/>
    <w:rsid w:val="00CE4C49"/>
    <w:rsid w:val="00D25FE8"/>
    <w:rsid w:val="00E53A90"/>
    <w:rsid w:val="00F15BDE"/>
    <w:rsid w:val="00F25C51"/>
    <w:rsid w:val="00F80C30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9F99"/>
  <w15:chartTrackingRefBased/>
  <w15:docId w15:val="{5323D770-2EA7-4FA0-9D11-32A0A271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25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5C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25C51"/>
    <w:rPr>
      <w:i/>
      <w:iCs/>
    </w:rPr>
  </w:style>
  <w:style w:type="character" w:styleId="Pogrubienie">
    <w:name w:val="Strong"/>
    <w:basedOn w:val="Domylnaczcionkaakapitu"/>
    <w:uiPriority w:val="22"/>
    <w:qFormat/>
    <w:rsid w:val="00F25C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C5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4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264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33C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3C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C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t.umk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ric.ross\AppData\Local\Microsoft\Windows\INetCache\Content.Outlook\645T4FD7\wdrodze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ric.ross\AppData\Local\Microsoft\Windows\INetCache\Content.Outlook\645T4FD7\akwinata.net\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eta.wdrodze.pl/authors/ks-piotr-roszak/" TargetMode="External"/><Relationship Id="rId10" Type="http://schemas.openxmlformats.org/officeDocument/2006/relationships/hyperlink" Target="file:///F:\social%20media\W%20drodze%20WYDAWNICTWO\ksi&#261;&#380;ki\000%20aaa%20NOTKI%20PRASOWE\wdrodze.pl" TargetMode="External"/><Relationship Id="rId4" Type="http://schemas.openxmlformats.org/officeDocument/2006/relationships/hyperlink" Target="https://beta.wdrodze.pl/authors/mateusz-przanowski-op/" TargetMode="External"/><Relationship Id="rId9" Type="http://schemas.openxmlformats.org/officeDocument/2006/relationships/hyperlink" Target="https://www.it.dominika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6</cp:revision>
  <dcterms:created xsi:type="dcterms:W3CDTF">2022-12-15T09:05:00Z</dcterms:created>
  <dcterms:modified xsi:type="dcterms:W3CDTF">2023-01-16T11:41:00Z</dcterms:modified>
</cp:coreProperties>
</file>